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8.xml" ContentType="application/vnd.openxmlformats-officedocument.wordprocessingml.head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>Приложение №1 к Документации о закупке</w:t>
      </w:r>
    </w:p>
    <w:p>
      <w:pPr>
        <w:pStyle w:val="Normal"/>
        <w:keepNext w:val="true"/>
        <w:keepLines/>
        <w:jc w:val="center"/>
        <w:rPr>
          <w:rFonts w:ascii="Times New Roman" w:hAnsi="Times New Roman"/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  <w:bookmarkStart w:id="0" w:name="_Toc141696704"/>
      <w:bookmarkStart w:id="1" w:name="_Toc137554584"/>
      <w:bookmarkStart w:id="2" w:name="_Toc139856287"/>
      <w:bookmarkStart w:id="3" w:name="_Toc141696704"/>
      <w:bookmarkStart w:id="4" w:name="_Toc137554584"/>
      <w:bookmarkStart w:id="5" w:name="_Toc139856287"/>
      <w:bookmarkEnd w:id="3"/>
      <w:bookmarkEnd w:id="4"/>
      <w:bookmarkEnd w:id="5"/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left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left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6"/>
          <w:szCs w:val="26"/>
        </w:rPr>
      </w:pPr>
      <w:r>
        <w:rPr>
          <w:rFonts w:eastAsia="Calibri"/>
          <w:b/>
          <w:sz w:val="26"/>
          <w:szCs w:val="26"/>
          <w:highlight w:val="white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</w:p>
    <w:p>
      <w:pPr>
        <w:pStyle w:val="Style41"/>
        <w:widowControl w:val="false"/>
        <w:suppressLineNumbers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eastAsia="Calibri"/>
          <w:color w:val="auto"/>
          <w:sz w:val="26"/>
          <w:szCs w:val="26"/>
          <w:lang w:eastAsia="en-US"/>
        </w:rPr>
        <w:t>ОКПД2 43.99.9 Выполнение работ по ремонту водоочистных сооружений Комсомольской ТЭЦ-2</w:t>
      </w:r>
    </w:p>
    <w:p>
      <w:pPr>
        <w:pStyle w:val="Style41"/>
        <w:widowControl w:val="false"/>
        <w:suppressLineNumbers/>
        <w:bidi w:val="0"/>
        <w:spacing w:lineRule="auto" w:line="240" w:before="0" w:after="0"/>
        <w:ind w:left="113" w:right="113" w:hanging="0"/>
        <w:jc w:val="center"/>
        <w:rPr>
          <w:rFonts w:ascii="Times New Roman" w:hAnsi="Times New Roman"/>
          <w:sz w:val="26"/>
          <w:szCs w:val="26"/>
        </w:rPr>
      </w:pPr>
      <w:r>
        <w:rPr>
          <w:rFonts w:eastAsia="Calibri"/>
          <w:color w:val="auto"/>
          <w:sz w:val="26"/>
          <w:szCs w:val="26"/>
          <w:lang w:eastAsia="en-US"/>
        </w:rPr>
        <w:t>в рамках программы повышения надежности, г. Комсомольск-на-Амуре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sectPr>
          <w:headerReference w:type="default" r:id="rId2"/>
          <w:type w:val="nextPage"/>
          <w:pgSz w:w="11906" w:h="16838"/>
          <w:pgMar w:left="1080" w:right="731" w:gutter="0" w:header="680" w:top="1134" w:footer="0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tLeast" w:line="57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</w:rPr>
        <w:t>ЛОТ №</w:t>
      </w:r>
      <w:r>
        <w:rPr>
          <w:rFonts w:eastAsia="Times New Roman" w:cs="Times New Roman"/>
          <w:color w:val="000000"/>
          <w:sz w:val="26"/>
          <w:szCs w:val="26"/>
        </w:rPr>
        <w:t>11029000-РЕМ ПРОД-2027-ДГК-КТЭЦ2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b/>
          <w:sz w:val="26"/>
          <w:szCs w:val="26"/>
          <w:highlight w:val="white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/>
          </w:pPr>
          <w:r>
            <w:fldChar w:fldCharType="begin"/>
          </w:r>
          <w:r>
            <w:rPr>
              <w:webHidden/>
              <w:rStyle w:val="Style16"/>
              <w:sz w:val="22"/>
              <w:shd w:fill="auto" w:val="clear"/>
              <w:szCs w:val="22"/>
              <w:vanish w:val="false"/>
            </w:rPr>
            <w:instrText xml:space="preserve"> TOC \z \o "1-4" \u \h</w:instrText>
          </w:r>
          <w:r>
            <w:rPr>
              <w:webHidden/>
              <w:rStyle w:val="Style16"/>
              <w:sz w:val="22"/>
              <w:shd w:fill="auto" w:val="clear"/>
              <w:szCs w:val="22"/>
              <w:vanish w:val="false"/>
            </w:rPr>
            <w:fldChar w:fldCharType="separate"/>
          </w:r>
          <w:hyperlink w:anchor="_Toc139017618" w:tgtFrame="#_Toc139017618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1.</w:t>
            </w:r>
            <w:r>
              <w:rPr>
                <w:rStyle w:val="Style16"/>
                <w:rFonts w:eastAsia="Arial" w:cs="Arial" w:cstheme="minorBidi" w:eastAsiaTheme="minorEastAsia"/>
                <w:b w:val="false"/>
                <w:bCs w:val="false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/>
          </w:pPr>
          <w:hyperlink w:anchor="_Toc139017619" w:tgtFrame="#_Toc139017619">
            <w:r>
              <w:rPr>
                <w:webHidden/>
                <w:rStyle w:val="Style16"/>
                <w:b/>
                <w:iCs/>
                <w:vanish w:val="false"/>
                <w:sz w:val="22"/>
                <w:szCs w:val="22"/>
                <w:shd w:fill="auto" w:val="clear"/>
              </w:rPr>
              <w:t>1.1.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_Toc139017619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/>
          </w:pPr>
          <w:hyperlink w:anchor="_Toc139017620" w:tgtFrame="#_Toc139017620">
            <w:r>
              <w:rPr>
                <w:webHidden/>
                <w:rStyle w:val="Style16"/>
                <w:b/>
                <w:iCs/>
                <w:vanish w:val="false"/>
                <w:sz w:val="22"/>
                <w:szCs w:val="22"/>
                <w:shd w:fill="auto" w:val="clear"/>
              </w:rPr>
              <w:t>1.2.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Наименование закупаемой продукции.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/>
          </w:pPr>
          <w:hyperlink w:anchor="_Toc139017621" w:tgtFrame="#_Toc139017621">
            <w:r>
              <w:rPr>
                <w:webHidden/>
                <w:rStyle w:val="Style16"/>
                <w:b/>
                <w:iCs/>
                <w:vanish w:val="false"/>
                <w:sz w:val="22"/>
                <w:szCs w:val="22"/>
                <w:shd w:fill="auto" w:val="clear"/>
              </w:rPr>
              <w:t>1.3.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Цель использования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/>
          </w:pPr>
          <w:hyperlink w:anchor="_Toc139017623" w:tgtFrame="#_Toc139017623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/>
          </w:pPr>
          <w:hyperlink w:anchor="_Toc139017624" w:tgtFrame="#_Toc139017624">
            <w:r>
              <w:rPr>
                <w:webHidden/>
                <w:rStyle w:val="Style16"/>
                <w:b/>
                <w:iCs/>
                <w:vanish w:val="false"/>
                <w:sz w:val="22"/>
                <w:szCs w:val="22"/>
                <w:shd w:fill="auto" w:val="clear"/>
              </w:rPr>
              <w:t>1.4.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25" w:tgtFrame="#_Toc139017625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1.4.1 Заказчик предоставит подрядчику: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/>
          </w:pPr>
          <w:hyperlink w:anchor="_Toc139017626" w:tgtFrame="#_Toc139017626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2.</w:t>
            </w:r>
            <w:r>
              <w:rPr>
                <w:rStyle w:val="Style16"/>
                <w:rFonts w:eastAsia="Arial" w:cs="Arial" w:cstheme="minorBidi" w:eastAsiaTheme="minorEastAsia"/>
                <w:b w:val="false"/>
                <w:bCs w:val="false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к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/>
          </w:pPr>
          <w:hyperlink w:anchor="_Toc139017627" w:tgtFrame="#_Toc139017627">
            <w:r>
              <w:rPr>
                <w:webHidden/>
                <w:rStyle w:val="Style16"/>
                <w:b/>
                <w:iCs/>
                <w:vanish w:val="false"/>
                <w:sz w:val="22"/>
                <w:szCs w:val="22"/>
                <w:shd w:fill="auto" w:val="clear"/>
              </w:rPr>
              <w:t>2.1.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по объемам и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28" w:tgtFrame="#_Toc139017628">
            <w:r>
              <w:rPr>
                <w:webHidden/>
                <w:rStyle w:val="Style16"/>
                <w:b/>
                <w:vanish w:val="false"/>
                <w:sz w:val="22"/>
                <w:szCs w:val="22"/>
                <w:shd w:fill="auto" w:val="clear"/>
              </w:rPr>
              <w:t>2.1.1.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к видам и объемам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/>
          </w:pPr>
          <w:hyperlink w:anchor="_Toc139017629" w:tgtFrame="#_Toc139017629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Таблица 2. Перечень и объем выполняемых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30" w:tgtFrame="#_Toc139017630">
            <w:r>
              <w:rPr>
                <w:webHidden/>
                <w:rStyle w:val="Style16"/>
                <w:b/>
                <w:vanish w:val="false"/>
                <w:sz w:val="22"/>
                <w:szCs w:val="22"/>
                <w:shd w:fill="auto" w:val="clear"/>
              </w:rPr>
              <w:t>2.1.2.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к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/>
          </w:pPr>
          <w:hyperlink w:anchor="_Toc139017631" w:tgtFrame="#_Toc139017631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Таблица 3. Требования по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/>
          </w:pPr>
          <w:hyperlink w:anchor="_Toc139017632" w:tgtFrame="#_Toc139017632">
            <w:r>
              <w:rPr>
                <w:webHidden/>
                <w:rStyle w:val="Style16"/>
                <w:b/>
                <w:iCs/>
                <w:vanish w:val="false"/>
                <w:sz w:val="22"/>
                <w:szCs w:val="22"/>
                <w:shd w:fill="auto" w:val="clear"/>
              </w:rPr>
              <w:t>2.2.</w:t>
            </w:r>
            <w:r>
              <w:rPr>
                <w:rStyle w:val="Style16"/>
                <w:rFonts w:eastAsia="Arial" w:cs="Arial" w:cstheme="minorBidi" w:eastAsiaTheme="minorEastAsia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к качеству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/>
          </w:pPr>
          <w:hyperlink w:anchor="_Toc139017633" w:tgtFrame="#_Toc139017633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Таблица 4. 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34" w:tgtFrame="#_Toc139017634">
            <w:r>
              <w:rPr>
                <w:webHidden/>
                <w:rStyle w:val="Style16"/>
                <w:rFonts w:eastAsia="Calibri"/>
                <w:i/>
                <w:vanish w:val="false"/>
                <w:sz w:val="22"/>
                <w:szCs w:val="22"/>
                <w:shd w:fill="auto" w:val="clear"/>
              </w:rPr>
              <w:t>Требования к безопасности выполняемых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35" w:tgtFrame="#_Toc139017635">
            <w:r>
              <w:rPr>
                <w:webHidden/>
                <w:rStyle w:val="Style16"/>
                <w:rFonts w:eastAsia="Calibri"/>
                <w:i/>
                <w:vanish w:val="false"/>
                <w:sz w:val="22"/>
                <w:szCs w:val="22"/>
                <w:shd w:fill="auto" w:val="clear"/>
              </w:rPr>
              <w:t>Соблюдение требований к пожарной безопасности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36" w:tgtFrame="#_Toc139017636">
            <w:r>
              <w:rPr>
                <w:webHidden/>
                <w:rStyle w:val="Style16"/>
                <w:rFonts w:eastAsia="Calibri"/>
                <w:i/>
                <w:vanish w:val="false"/>
                <w:sz w:val="22"/>
                <w:szCs w:val="22"/>
                <w:shd w:fill="auto" w:val="clear"/>
              </w:rPr>
              <w:t>Соблюдение требований к охране окружающей среды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37" w:tgtFrame="#_Toc139017637">
            <w:r>
              <w:rPr>
                <w:webHidden/>
                <w:rStyle w:val="Style16"/>
                <w:rFonts w:eastAsia="Calibri"/>
                <w:i/>
                <w:vanish w:val="false"/>
                <w:sz w:val="22"/>
                <w:szCs w:val="22"/>
                <w:shd w:fill="auto" w:val="clear"/>
              </w:rPr>
              <w:t>Соблюдение требований охраны труда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/>
          </w:pPr>
          <w:hyperlink w:anchor="_Toc139017638" w:tgtFrame="#_Toc139017638">
            <w:r>
              <w:rPr>
                <w:webHidden/>
                <w:rStyle w:val="Style16"/>
                <w:rFonts w:eastAsia="Calibri"/>
                <w:i/>
                <w:vanish w:val="false"/>
                <w:sz w:val="22"/>
                <w:szCs w:val="22"/>
                <w:shd w:fill="auto" w:val="clear"/>
              </w:rPr>
              <w:t>Общие требования к оформлению документации</w:t>
            </w:r>
            <w:r>
              <w:rPr>
                <w:rStyle w:val="Style16"/>
                <w:rFonts w:eastAsia="Calibri"/>
                <w:i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/>
          </w:pPr>
          <w:hyperlink w:anchor="_Toc139017639" w:tgtFrame="#_Toc139017639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3.</w:t>
            </w:r>
            <w:r>
              <w:rPr>
                <w:rStyle w:val="Style16"/>
                <w:rFonts w:eastAsia="Arial" w:cs="Arial" w:cstheme="minorBidi" w:eastAsiaTheme="minorEastAsia"/>
                <w:b w:val="false"/>
                <w:bCs w:val="false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к документации по ценообразованию на этапе закупки</w:t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/>
          </w:pPr>
          <w:hyperlink w:anchor="_Toc139017642" w:tgtFrame="#_Toc139017642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4.</w:t>
            </w:r>
            <w:r>
              <w:rPr>
                <w:rStyle w:val="Style16"/>
                <w:rFonts w:eastAsia="Arial" w:cs="Arial" w:cstheme="minorBidi" w:eastAsiaTheme="minorEastAsia"/>
                <w:b w:val="false"/>
                <w:bCs w:val="false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_Toc139017642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Требования к документации по ценообразованию на этапе заключения (исполнения) договора</w:t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/>
          </w:pPr>
          <w:hyperlink w:anchor="_Toc139017650" w:tgtFrame="#_Toc139017650">
            <w:r>
              <w:rPr>
                <w:webHidden/>
                <w:rStyle w:val="Style16"/>
                <w:vanish w:val="false"/>
                <w:sz w:val="22"/>
                <w:szCs w:val="22"/>
                <w:shd w:fill="auto" w:val="clear"/>
              </w:rPr>
              <w:t>5.</w:t>
            </w:r>
            <w:r>
              <w:rPr>
                <w:rStyle w:val="Style16"/>
                <w:rFonts w:eastAsia="Arial" w:cs="Arial" w:cstheme="minorBidi" w:eastAsiaTheme="minorEastAsia"/>
                <w:b w:val="false"/>
                <w:bCs w:val="false"/>
                <w:sz w:val="22"/>
                <w:szCs w:val="22"/>
                <w:shd w:fill="auto" w:val="clear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2"/>
                <w:szCs w:val="22"/>
                <w:shd w:fill="auto" w:val="clear"/>
              </w:rPr>
              <w:t>Приложения</w:t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6"/>
              <w:sz w:val="22"/>
              <w:shd w:fill="auto" w:val="clear"/>
              <w:szCs w:val="22"/>
            </w:rPr>
            <w:fldChar w:fldCharType="end"/>
          </w:r>
        </w:p>
      </w:sdtContent>
    </w:sdt>
    <w:p>
      <w:pPr>
        <w:pStyle w:val="Heading2"/>
        <w:numPr>
          <w:ilvl w:val="0"/>
        </w:numPr>
        <w:ind w:left="0" w:hanging="0"/>
        <w:rPr>
          <w:rFonts w:ascii="Times New Roman" w:hAnsi="Times New Roman"/>
          <w:sz w:val="26"/>
          <w:szCs w:val="26"/>
          <w:highlight w:val="none"/>
          <w:shd w:fill="auto" w:val="clear"/>
        </w:rPr>
      </w:pPr>
      <w:r>
        <w:rPr>
          <w:sz w:val="26"/>
          <w:szCs w:val="26"/>
          <w:shd w:fill="auto" w:val="clear"/>
        </w:rPr>
      </w:r>
      <w:r>
        <w:br w:type="page"/>
      </w:r>
    </w:p>
    <w:p>
      <w:pPr>
        <w:pStyle w:val="Heading1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bookmarkStart w:id="6" w:name="_Toc129956730"/>
      <w:bookmarkStart w:id="7" w:name="_Toc139017618"/>
      <w:bookmarkStart w:id="8" w:name="_Toc51339692"/>
      <w:r>
        <w:rPr>
          <w:sz w:val="26"/>
          <w:szCs w:val="26"/>
          <w:highlight w:val="white"/>
        </w:rPr>
        <w:t>Общие сведения</w:t>
      </w:r>
      <w:bookmarkEnd w:id="6"/>
      <w:bookmarkEnd w:id="7"/>
      <w:bookmarkEnd w:id="8"/>
    </w:p>
    <w:p>
      <w:pPr>
        <w:pStyle w:val="Heading4"/>
        <w:numPr>
          <w:ilvl w:val="1"/>
          <w:numId w:val="28"/>
        </w:numPr>
        <w:rPr>
          <w:rFonts w:ascii="Times New Roman" w:hAnsi="Times New Roman"/>
          <w:sz w:val="26"/>
          <w:szCs w:val="26"/>
        </w:rPr>
      </w:pPr>
      <w:bookmarkStart w:id="9" w:name="_Toc139017619"/>
      <w:bookmarkStart w:id="10" w:name="_Toc129956731"/>
      <w:bookmarkStart w:id="11" w:name="_Toc46743505"/>
      <w:r>
        <w:rPr>
          <w:sz w:val="26"/>
          <w:szCs w:val="26"/>
          <w:highlight w:val="white"/>
        </w:rPr>
        <w:t>Обозначения и сокращения</w:t>
      </w:r>
      <w:bookmarkEnd w:id="9"/>
      <w:bookmarkEnd w:id="10"/>
      <w:bookmarkEnd w:id="11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Акционерное общество;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Государственный стандарт;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ДГК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Дальневосточная генерирующая компания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ИТР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Инженерно-технические работники;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КС-2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Акт о приемке выполненных работ (форма № КС-2);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КС-3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Справка о стоимости выполненных работ и затрат (форма № КС-3);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НПБ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Нормы пожарной безопасности;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Нормативно-техническая документация;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Программный комплекс;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Проект производства работ;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 устройства электроустановок;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Руководящий документ;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Строительные нормы и правила;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Свод правил;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Стандарт организации;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Технические требования;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ТЭЦ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Теплоэлектроцентраль;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ФЗ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Федеральный закон;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gsfx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Формат файла программы «Гранд-Смета»</w:t>
            </w:r>
          </w:p>
        </w:tc>
      </w:tr>
      <w:tr>
        <w:trPr>
          <w:trHeight w:val="920" w:hRule="exact"/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pdf – portable document format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Формат файла электронного документа;</w:t>
            </w:r>
          </w:p>
        </w:tc>
      </w:tr>
    </w:tbl>
    <w:p>
      <w:pPr>
        <w:pStyle w:val="Normal"/>
        <w:keepNext w:val="true"/>
        <w:keepLines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br w:type="page"/>
      </w:r>
    </w:p>
    <w:p>
      <w:pPr>
        <w:pStyle w:val="Heading4"/>
        <w:numPr>
          <w:ilvl w:val="1"/>
          <w:numId w:val="29"/>
        </w:numPr>
        <w:spacing w:before="120" w:after="60"/>
        <w:contextualSpacing/>
        <w:jc w:val="left"/>
        <w:rPr>
          <w:rFonts w:ascii="Times New Roman" w:hAnsi="Times New Roman"/>
          <w:sz w:val="26"/>
          <w:szCs w:val="26"/>
        </w:rPr>
      </w:pPr>
      <w:bookmarkStart w:id="12" w:name="_Toc129956732"/>
      <w:bookmarkStart w:id="13" w:name="_Toc139017620"/>
      <w:r>
        <w:rPr>
          <w:sz w:val="26"/>
          <w:szCs w:val="26"/>
          <w:highlight w:val="white"/>
        </w:rPr>
        <w:t>Наименование закупаемой продукции</w:t>
      </w:r>
      <w:r>
        <w:rPr>
          <w:sz w:val="26"/>
          <w:szCs w:val="26"/>
        </w:rPr>
        <w:t>:</w:t>
      </w:r>
      <w:bookmarkEnd w:id="12"/>
      <w:bookmarkEnd w:id="13"/>
    </w:p>
    <w:p>
      <w:pPr>
        <w:pStyle w:val="Normal"/>
        <w:spacing w:lineRule="atLeast" w:line="57" w:before="0" w:after="0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>
        <w:rPr>
          <w:rFonts w:eastAsia="Calibri"/>
          <w:color w:val="auto"/>
          <w:sz w:val="26"/>
          <w:szCs w:val="26"/>
          <w:lang w:eastAsia="en-US"/>
        </w:rPr>
        <w:t>ОКПД2 43.99.9 Выполнение работ по ремонту водоочистных сооружений Комсомольской ТЭЦ-2 в рамках программы повышения надежности, г.Комсомольск-на-Амуре</w:t>
      </w:r>
      <w:r>
        <w:rPr>
          <w:rFonts w:eastAsia="Calibri" w:cs="Times New Roman"/>
          <w:color w:val="000000" w:themeColor="text1"/>
          <w:sz w:val="26"/>
          <w:szCs w:val="26"/>
        </w:rPr>
        <w:t>»</w:t>
      </w:r>
      <w:r>
        <w:rPr>
          <w:i/>
          <w:sz w:val="26"/>
          <w:szCs w:val="26"/>
          <w:highlight w:val="white"/>
        </w:rPr>
        <w:t>.</w:t>
      </w:r>
    </w:p>
    <w:p>
      <w:pPr>
        <w:pStyle w:val="Heading4"/>
        <w:numPr>
          <w:ilvl w:val="1"/>
          <w:numId w:val="30"/>
        </w:numPr>
        <w:spacing w:before="120" w:after="60"/>
        <w:contextualSpacing/>
        <w:jc w:val="left"/>
        <w:rPr>
          <w:rFonts w:ascii="Times New Roman" w:hAnsi="Times New Roman"/>
          <w:sz w:val="26"/>
          <w:szCs w:val="26"/>
        </w:rPr>
      </w:pPr>
      <w:bookmarkStart w:id="14" w:name="_Toc129956733"/>
      <w:bookmarkStart w:id="15" w:name="_Toc139017621"/>
      <w:r>
        <w:rPr>
          <w:sz w:val="26"/>
          <w:szCs w:val="26"/>
          <w:highlight w:val="white"/>
        </w:rPr>
        <w:t>Цель использования закупаемой продукции</w:t>
      </w:r>
      <w:bookmarkEnd w:id="14"/>
      <w:bookmarkEnd w:id="15"/>
      <w:r>
        <w:rPr>
          <w:sz w:val="26"/>
          <w:szCs w:val="26"/>
        </w:rPr>
        <w:t>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i w:val="false"/>
          <w:iCs w:val="false"/>
          <w:sz w:val="26"/>
          <w:szCs w:val="26"/>
        </w:rPr>
        <w:t xml:space="preserve">Целью работы является обеспечение надёжной и безаварийной эксплуатации водоочистных сооружений </w:t>
      </w:r>
      <w:r>
        <w:rPr>
          <w:sz w:val="26"/>
          <w:szCs w:val="26"/>
          <w:lang w:eastAsia="en-US"/>
        </w:rPr>
        <w:t>Комсомольской ТЭЦ-2</w:t>
      </w:r>
      <w:r>
        <w:rPr>
          <w:i w:val="false"/>
          <w:iCs w:val="false"/>
          <w:sz w:val="26"/>
          <w:szCs w:val="26"/>
        </w:rPr>
        <w:t>.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</w:rPr>
      </w:pPr>
      <w:bookmarkStart w:id="16" w:name="_Toc139017623"/>
      <w:bookmarkStart w:id="17" w:name="_Toc129956735"/>
      <w:r>
        <w:rPr>
          <w:sz w:val="26"/>
          <w:szCs w:val="26"/>
          <w:highlight w:val="white"/>
        </w:rPr>
        <w:t>Таблица 1. Перечень объектов заказчика</w:t>
      </w:r>
      <w:bookmarkEnd w:id="16"/>
      <w:bookmarkEnd w:id="17"/>
      <w:r>
        <w:rPr>
          <w:sz w:val="26"/>
          <w:szCs w:val="26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  <w:highlight w:val="none"/>
        </w:rPr>
      </w:pPr>
      <w:r>
        <w:rPr>
          <w:sz w:val="26"/>
          <w:szCs w:val="26"/>
        </w:rPr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3673"/>
        <w:gridCol w:w="5536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№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п/п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Наименование объекта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Расположение объекта</w:t>
            </w:r>
            <w:r>
              <w:rPr>
                <w:sz w:val="26"/>
                <w:szCs w:val="26"/>
                <w:highlight w:val="white"/>
              </w:rPr>
              <w:br w:type="textWrapping" w:clear="all"/>
            </w:r>
            <w:r>
              <w:rPr>
                <w:i/>
                <w:iCs/>
                <w:sz w:val="26"/>
                <w:szCs w:val="26"/>
                <w:highlight w:val="white"/>
              </w:rPr>
              <w:t>(место производства работ)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2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3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 xml:space="preserve">Водоочистные сооружения </w:t>
            </w:r>
            <w:r>
              <w:rPr>
                <w:sz w:val="26"/>
                <w:szCs w:val="26"/>
                <w:lang w:eastAsia="en-US"/>
              </w:rPr>
              <w:t>Комсомольской ТЭЦ-2</w:t>
            </w:r>
            <w:r>
              <w:rPr>
                <w:sz w:val="26"/>
                <w:szCs w:val="26"/>
              </w:rPr>
              <w:t>,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инв.№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>00000000000000006612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</w:tbl>
    <w:p>
      <w:pPr>
        <w:pStyle w:val="Heading4"/>
        <w:numPr>
          <w:ilvl w:val="1"/>
          <w:numId w:val="31"/>
        </w:numPr>
        <w:spacing w:before="120" w:after="60"/>
        <w:contextualSpacing/>
        <w:jc w:val="both"/>
        <w:rPr>
          <w:rFonts w:ascii="Times New Roman" w:hAnsi="Times New Roman"/>
          <w:sz w:val="26"/>
          <w:szCs w:val="26"/>
        </w:rPr>
      </w:pPr>
      <w:bookmarkStart w:id="18" w:name="_Toc139017624"/>
      <w:bookmarkStart w:id="19" w:name="_Toc129956736"/>
      <w:r>
        <w:rPr>
          <w:sz w:val="26"/>
          <w:szCs w:val="26"/>
          <w:highlight w:val="white"/>
        </w:rPr>
        <w:t xml:space="preserve">Информация в отношении исполнения договора, </w:t>
      </w:r>
      <w:bookmarkStart w:id="20" w:name="_Hlk46492347"/>
      <w:r>
        <w:rPr>
          <w:sz w:val="26"/>
          <w:szCs w:val="26"/>
          <w:highlight w:val="white"/>
        </w:rPr>
        <w:t xml:space="preserve">которая должна быть учтена при подготовке заявки </w:t>
      </w:r>
      <w:bookmarkEnd w:id="20"/>
      <w:r>
        <w:rPr>
          <w:sz w:val="26"/>
          <w:szCs w:val="26"/>
          <w:highlight w:val="white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19"/>
      <w:r>
        <w:rPr>
          <w:sz w:val="26"/>
          <w:szCs w:val="26"/>
        </w:rPr>
        <w:t>:</w:t>
      </w:r>
      <w:bookmarkStart w:id="21" w:name="_Hlk48209761"/>
      <w:bookmarkEnd w:id="18"/>
    </w:p>
    <w:p>
      <w:pPr>
        <w:pStyle w:val="Heading3"/>
        <w:numPr>
          <w:ilvl w:val="0"/>
          <w:numId w:val="0"/>
        </w:numPr>
        <w:spacing w:before="120" w:after="60"/>
        <w:ind w:left="0" w:hanging="0"/>
        <w:contextualSpacing/>
        <w:jc w:val="both"/>
        <w:rPr>
          <w:rFonts w:ascii="Times New Roman" w:hAnsi="Times New Roman"/>
          <w:sz w:val="26"/>
          <w:szCs w:val="26"/>
        </w:rPr>
      </w:pPr>
      <w:bookmarkStart w:id="22" w:name="_Toc139017625"/>
      <w:bookmarkStart w:id="23" w:name="_Toc129956737"/>
      <w:r>
        <w:rPr>
          <w:sz w:val="26"/>
          <w:szCs w:val="26"/>
          <w:highlight w:val="white"/>
        </w:rPr>
        <w:t>1.4.1 Заказчик предоставит подрядчику:</w:t>
      </w:r>
      <w:bookmarkEnd w:id="22"/>
      <w:bookmarkEnd w:id="23"/>
    </w:p>
    <w:p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  <w:highlight w:val="white"/>
        </w:rPr>
        <w:t>Электроэнергию, при получении технических условий на временное присоединение (на период выполнения ремонтных работ подрядной организацией);</w:t>
      </w:r>
    </w:p>
    <w:p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Водоснабжение </w:t>
      </w:r>
      <w:r>
        <w:rPr>
          <w:sz w:val="26"/>
          <w:szCs w:val="26"/>
          <w:highlight w:val="white"/>
        </w:rPr>
        <w:t>(на период выполнения ремонтных работ подрядной организацией)</w:t>
      </w:r>
      <w:r>
        <w:rPr>
          <w:sz w:val="26"/>
          <w:szCs w:val="26"/>
        </w:rPr>
        <w:t>.</w:t>
      </w:r>
    </w:p>
    <w:p>
      <w:pPr>
        <w:pStyle w:val="Heading1"/>
        <w:numPr>
          <w:ilvl w:val="0"/>
          <w:numId w:val="1"/>
        </w:numPr>
        <w:ind w:left="0" w:hanging="0"/>
        <w:jc w:val="center"/>
        <w:rPr>
          <w:rFonts w:ascii="Times New Roman" w:hAnsi="Times New Roman"/>
          <w:sz w:val="26"/>
          <w:szCs w:val="26"/>
        </w:rPr>
      </w:pPr>
      <w:bookmarkStart w:id="24" w:name="_Toc51339693"/>
      <w:bookmarkStart w:id="25" w:name="_Toc139017626"/>
      <w:bookmarkStart w:id="26" w:name="_Toc129956738"/>
      <w:bookmarkEnd w:id="21"/>
      <w:r>
        <w:rPr>
          <w:sz w:val="26"/>
          <w:szCs w:val="26"/>
          <w:highlight w:val="white"/>
        </w:rPr>
        <w:t>Требования к продукции</w:t>
      </w:r>
      <w:bookmarkEnd w:id="24"/>
      <w:bookmarkEnd w:id="25"/>
      <w:bookmarkEnd w:id="26"/>
    </w:p>
    <w:p>
      <w:pPr>
        <w:pStyle w:val="Heading4"/>
        <w:numPr>
          <w:ilvl w:val="1"/>
          <w:numId w:val="32"/>
        </w:numPr>
        <w:rPr>
          <w:rFonts w:ascii="Times New Roman" w:hAnsi="Times New Roman"/>
          <w:sz w:val="26"/>
          <w:szCs w:val="26"/>
        </w:rPr>
      </w:pPr>
      <w:bookmarkStart w:id="27" w:name="_Toc139017627"/>
      <w:bookmarkStart w:id="28" w:name="_Toc129956739"/>
      <w:r>
        <w:rPr>
          <w:sz w:val="26"/>
          <w:szCs w:val="26"/>
          <w:highlight w:val="white"/>
        </w:rPr>
        <w:t>Требования по объемам и срокам выполнения работ</w:t>
      </w:r>
      <w:bookmarkEnd w:id="27"/>
      <w:bookmarkEnd w:id="28"/>
      <w:r>
        <w:rPr>
          <w:sz w:val="26"/>
          <w:szCs w:val="26"/>
        </w:rPr>
        <w:t>:</w:t>
      </w:r>
    </w:p>
    <w:p>
      <w:pPr>
        <w:pStyle w:val="Heading3"/>
        <w:numPr>
          <w:ilvl w:val="2"/>
          <w:numId w:val="33"/>
        </w:numPr>
        <w:ind w:left="425" w:hanging="425"/>
        <w:rPr>
          <w:rFonts w:ascii="Times New Roman" w:hAnsi="Times New Roman"/>
          <w:sz w:val="26"/>
          <w:szCs w:val="26"/>
        </w:rPr>
      </w:pPr>
      <w:bookmarkStart w:id="29" w:name="_Toc129956740"/>
      <w:bookmarkStart w:id="30" w:name="_Toc139017628"/>
      <w:r>
        <w:rPr>
          <w:sz w:val="26"/>
          <w:szCs w:val="26"/>
          <w:highlight w:val="white"/>
        </w:rPr>
        <w:t>Требования к видам и объемам работ</w:t>
      </w:r>
      <w:bookmarkEnd w:id="29"/>
      <w:bookmarkEnd w:id="30"/>
      <w:r>
        <w:rPr>
          <w:sz w:val="26"/>
          <w:szCs w:val="26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</w:rPr>
      </w:pPr>
      <w:bookmarkStart w:id="31" w:name="_Toc139017629"/>
      <w:bookmarkStart w:id="32" w:name="_Toc129956741"/>
      <w:bookmarkStart w:id="33" w:name="_Toc51339695"/>
      <w:r>
        <w:rPr>
          <w:sz w:val="26"/>
          <w:szCs w:val="26"/>
          <w:highlight w:val="white"/>
        </w:rPr>
        <w:t xml:space="preserve">Таблица 2. Перечень и объем </w:t>
      </w:r>
      <w:bookmarkEnd w:id="33"/>
      <w:r>
        <w:rPr>
          <w:sz w:val="26"/>
          <w:szCs w:val="26"/>
          <w:highlight w:val="white"/>
        </w:rPr>
        <w:t>выполняемых работ</w:t>
      </w:r>
      <w:bookmarkEnd w:id="31"/>
      <w:bookmarkEnd w:id="32"/>
      <w:r>
        <w:rPr>
          <w:sz w:val="26"/>
          <w:szCs w:val="26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  <w:highlight w:val="none"/>
        </w:rPr>
      </w:pPr>
      <w:r>
        <w:rPr>
          <w:sz w:val="26"/>
          <w:szCs w:val="26"/>
        </w:rPr>
      </w:r>
    </w:p>
    <w:tbl>
      <w:tblPr>
        <w:tblW w:w="991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0"/>
        <w:gridCol w:w="3970"/>
        <w:gridCol w:w="1217"/>
        <w:gridCol w:w="4167"/>
      </w:tblGrid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п/п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Наименование работ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left="-283" w:right="-187" w:hanging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Единица измерения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Количество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3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4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tLeast" w:line="57" w:before="0" w:after="0"/>
              <w:ind w:left="113" w:right="0" w:hanging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color w:val="auto"/>
                <w:sz w:val="26"/>
                <w:szCs w:val="26"/>
                <w:highlight w:val="white"/>
                <w:lang w:eastAsia="en-US"/>
              </w:rPr>
              <w:t>Ремонт водоочистных сооружений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у.е.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в соответствии с ведомостью объемов работ (Приложение №2 к настоящим ТТ).</w:t>
            </w:r>
          </w:p>
        </w:tc>
      </w:tr>
    </w:tbl>
    <w:p>
      <w:pPr>
        <w:pStyle w:val="Heading3"/>
        <w:numPr>
          <w:ilvl w:val="2"/>
          <w:numId w:val="34"/>
        </w:numPr>
        <w:ind w:left="425" w:hanging="425"/>
        <w:rPr>
          <w:rFonts w:ascii="Times New Roman" w:hAnsi="Times New Roman"/>
          <w:sz w:val="26"/>
          <w:szCs w:val="26"/>
        </w:rPr>
      </w:pPr>
      <w:bookmarkStart w:id="34" w:name="_Toc139017630"/>
      <w:bookmarkStart w:id="35" w:name="_Toc129956742"/>
      <w:bookmarkStart w:id="36" w:name="_Toc51339696"/>
      <w:r>
        <w:rPr>
          <w:sz w:val="26"/>
          <w:szCs w:val="26"/>
          <w:highlight w:val="white"/>
        </w:rPr>
        <w:t xml:space="preserve">Требования </w:t>
      </w:r>
      <w:bookmarkEnd w:id="36"/>
      <w:r>
        <w:rPr>
          <w:sz w:val="26"/>
          <w:szCs w:val="26"/>
          <w:highlight w:val="white"/>
        </w:rPr>
        <w:t>к срокам выполнения работ</w:t>
      </w:r>
      <w:bookmarkEnd w:id="34"/>
      <w:bookmarkEnd w:id="35"/>
      <w:r>
        <w:rPr>
          <w:sz w:val="26"/>
          <w:szCs w:val="26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</w:rPr>
      </w:pPr>
      <w:bookmarkStart w:id="37" w:name="_Toc139017631"/>
      <w:bookmarkStart w:id="38" w:name="_Toc129956743"/>
      <w:bookmarkStart w:id="39" w:name="_Toc50125127"/>
      <w:bookmarkStart w:id="40" w:name="_Toc51339697"/>
      <w:bookmarkStart w:id="41" w:name="_Toc50125126"/>
      <w:bookmarkEnd w:id="41"/>
      <w:r>
        <w:rPr>
          <w:sz w:val="26"/>
          <w:szCs w:val="26"/>
          <w:highlight w:val="white"/>
        </w:rPr>
        <w:t xml:space="preserve">Таблица 3. </w:t>
      </w:r>
      <w:bookmarkStart w:id="42" w:name="_Hlk50465284"/>
      <w:r>
        <w:rPr>
          <w:sz w:val="26"/>
          <w:szCs w:val="26"/>
          <w:highlight w:val="white"/>
        </w:rPr>
        <w:t xml:space="preserve">Требования </w:t>
      </w:r>
      <w:bookmarkEnd w:id="39"/>
      <w:bookmarkEnd w:id="40"/>
      <w:bookmarkEnd w:id="42"/>
      <w:r>
        <w:rPr>
          <w:sz w:val="26"/>
          <w:szCs w:val="26"/>
          <w:highlight w:val="white"/>
        </w:rPr>
        <w:t>по срокам выполнения работ</w:t>
      </w:r>
      <w:bookmarkEnd w:id="37"/>
      <w:bookmarkEnd w:id="38"/>
      <w:r>
        <w:rPr>
          <w:sz w:val="26"/>
          <w:szCs w:val="26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  <w:highlight w:val="none"/>
        </w:rPr>
      </w:pPr>
      <w:r>
        <w:rPr>
          <w:sz w:val="26"/>
          <w:szCs w:val="26"/>
        </w:rPr>
      </w:r>
    </w:p>
    <w:tbl>
      <w:tblPr>
        <w:tblW w:w="974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3684"/>
        <w:gridCol w:w="2693"/>
        <w:gridCol w:w="2802"/>
      </w:tblGrid>
      <w:tr>
        <w:trPr>
          <w:trHeight w:val="53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№ </w:t>
            </w:r>
            <w:r>
              <w:rPr>
                <w:sz w:val="26"/>
                <w:szCs w:val="26"/>
                <w:highlight w:val="white"/>
              </w:rPr>
              <w:t>п/п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Требования к началу срока выполнения работ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Требования к окончанию срока выполнения работ</w:t>
            </w:r>
          </w:p>
        </w:tc>
      </w:tr>
      <w:tr>
        <w:trPr>
          <w:trHeight w:val="19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3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4</w:t>
            </w:r>
          </w:p>
        </w:tc>
      </w:tr>
      <w:tr>
        <w:trPr>
          <w:trHeight w:val="847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bidi w:val="0"/>
              <w:spacing w:lineRule="atLeast" w:line="57" w:before="0" w:after="0"/>
              <w:ind w:left="113" w:right="0" w:hanging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color w:val="auto"/>
                <w:sz w:val="26"/>
                <w:szCs w:val="26"/>
                <w:highlight w:val="white"/>
                <w:lang w:eastAsia="en-US"/>
              </w:rPr>
              <w:t>Ремонт водоочистных сооружений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6"/>
                <w:szCs w:val="26"/>
                <w:highlight w:val="white"/>
                <w:u w:val="none"/>
                <w:em w:val="none"/>
              </w:rPr>
              <w:t>с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 xml:space="preserve"> даты, следующей за датой заключения Договора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 xml:space="preserve">в течение 430 дней </w:t>
            </w:r>
            <w:r>
              <w:rPr>
                <w:bCs/>
                <w:color w:val="000000"/>
                <w:sz w:val="26"/>
                <w:szCs w:val="26"/>
                <w:highlight w:val="white"/>
              </w:rPr>
              <w:t>календарных дней с даты заключения договора</w:t>
            </w:r>
          </w:p>
        </w:tc>
      </w:tr>
    </w:tbl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  <w:highlight w:val="white"/>
        </w:rPr>
        <w:t xml:space="preserve">Примечание: сроки выполнения работ могут быть уточнены в соответствии с графиком ремонта основного оборудования. При этом, конечный срок выполнения работ </w:t>
      </w:r>
      <w:r>
        <w:rPr>
          <w:b/>
          <w:sz w:val="26"/>
          <w:szCs w:val="26"/>
          <w:highlight w:val="white"/>
        </w:rPr>
        <w:t>не продлевается</w:t>
      </w:r>
      <w:r>
        <w:rPr>
          <w:sz w:val="26"/>
          <w:szCs w:val="26"/>
        </w:rPr>
        <w:t>.</w:t>
      </w:r>
    </w:p>
    <w:p>
      <w:pPr>
        <w:pStyle w:val="Heading4"/>
        <w:numPr>
          <w:ilvl w:val="1"/>
          <w:numId w:val="35"/>
        </w:numPr>
        <w:rPr>
          <w:rFonts w:ascii="Times New Roman" w:hAnsi="Times New Roman"/>
          <w:sz w:val="26"/>
          <w:szCs w:val="26"/>
        </w:rPr>
      </w:pPr>
      <w:bookmarkStart w:id="43" w:name="_Toc139017632"/>
      <w:bookmarkStart w:id="44" w:name="_Toc129956744"/>
      <w:r>
        <w:rPr>
          <w:sz w:val="26"/>
          <w:szCs w:val="26"/>
          <w:highlight w:val="white"/>
        </w:rPr>
        <w:t>Требования к качеству работ</w:t>
      </w:r>
      <w:bookmarkEnd w:id="43"/>
      <w:bookmarkEnd w:id="44"/>
      <w:r>
        <w:rPr>
          <w:sz w:val="26"/>
          <w:szCs w:val="26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/>
          <w:sz w:val="26"/>
          <w:szCs w:val="26"/>
        </w:rPr>
      </w:pPr>
      <w:bookmarkStart w:id="45" w:name="_Toc129956745"/>
      <w:bookmarkStart w:id="46" w:name="_Toc139017633"/>
      <w:bookmarkStart w:id="47" w:name="_Toc50125131"/>
      <w:bookmarkStart w:id="48" w:name="_Toc51339698"/>
      <w:r>
        <w:rPr>
          <w:sz w:val="26"/>
          <w:szCs w:val="26"/>
          <w:highlight w:val="white"/>
        </w:rPr>
        <w:t xml:space="preserve">Таблица 4. Требования к </w:t>
      </w:r>
      <w:bookmarkEnd w:id="47"/>
      <w:bookmarkEnd w:id="48"/>
      <w:r>
        <w:rPr>
          <w:sz w:val="26"/>
          <w:szCs w:val="26"/>
          <w:highlight w:val="white"/>
        </w:rPr>
        <w:t>качеству работ</w:t>
      </w:r>
      <w:bookmarkEnd w:id="45"/>
      <w:bookmarkEnd w:id="46"/>
      <w:r>
        <w:rPr>
          <w:sz w:val="26"/>
          <w:szCs w:val="26"/>
        </w:rPr>
        <w:t>:</w:t>
      </w:r>
    </w:p>
    <w:p>
      <w:pPr>
        <w:pStyle w:val="Normal"/>
        <w:spacing w:before="0" w:after="120"/>
        <w:jc w:val="both"/>
        <w:rPr>
          <w:rFonts w:ascii="Times New Roman" w:hAnsi="Times New Roman"/>
          <w:sz w:val="26"/>
          <w:szCs w:val="26"/>
        </w:rPr>
      </w:pPr>
      <w:r>
        <w:rPr>
          <w:b/>
          <w:bCs/>
          <w:sz w:val="26"/>
          <w:szCs w:val="26"/>
          <w:highlight w:val="white"/>
        </w:rPr>
        <w:t xml:space="preserve">Наименование работ: </w:t>
      </w:r>
      <w:r>
        <w:rPr>
          <w:sz w:val="26"/>
          <w:szCs w:val="26"/>
          <w:highlight w:val="white"/>
        </w:rPr>
        <w:t>в соответствии с Таблицей 2.</w:t>
      </w:r>
    </w:p>
    <w:tbl>
      <w:tblPr>
        <w:tblW w:w="15285" w:type="dxa"/>
        <w:jc w:val="left"/>
        <w:tblInd w:w="108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HBand="0" w:noVBand="1" w:firstColumn="1" w:lastRow="0" w:lastColumn="0" w:firstRow="1"/>
      </w:tblPr>
      <w:tblGrid>
        <w:gridCol w:w="1551"/>
        <w:gridCol w:w="1984"/>
        <w:gridCol w:w="5015"/>
        <w:gridCol w:w="2623"/>
        <w:gridCol w:w="1837"/>
        <w:gridCol w:w="2275"/>
      </w:tblGrid>
      <w:tr>
        <w:trPr>
          <w:trHeight w:val="555" w:hRule="exact"/>
        </w:trPr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 xml:space="preserve">№ </w:t>
            </w:r>
            <w:r>
              <w:rPr>
                <w:b/>
                <w:bCs/>
                <w:sz w:val="26"/>
                <w:szCs w:val="26"/>
                <w:highlight w:val="white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Наименование параметра</w:t>
            </w:r>
          </w:p>
        </w:tc>
        <w:tc>
          <w:tcPr>
            <w:tcW w:w="7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Требование заказчика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15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63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Согласие с требованием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357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2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5</w:t>
            </w:r>
          </w:p>
        </w:tc>
      </w:tr>
      <w:tr>
        <w:trPr>
          <w:trHeight w:val="345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выполнению работ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>
        <w:trPr>
          <w:trHeight w:val="307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bCs/>
                <w:sz w:val="26"/>
                <w:szCs w:val="26"/>
                <w:highlight w:val="white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Общие требования к выполнению работ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22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142" w:firstLine="67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182" w:leader="none"/>
                <w:tab w:val="left" w:pos="413" w:leader="none"/>
              </w:tabs>
              <w:spacing w:before="0" w:after="60"/>
              <w:ind w:firstLine="20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highlight w:val="white"/>
              </w:rPr>
              <w:t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№19) (Приложение №5 к настоящим ТТ);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  <w:highlight w:val="white"/>
              </w:rPr>
              <w:t>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</w:t>
            </w:r>
            <w:r>
              <w:rPr>
                <w:sz w:val="26"/>
                <w:szCs w:val="26"/>
                <w:highlight w:val="white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- СТО 70238424.27.100.003-2008 "Здания и сооружения ТЭС. Организация эксплуатации и технического обслуживания. Нормы и требования";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РД 153-34.0-21.601-98</w:t>
            </w:r>
            <w:r>
              <w:rPr>
                <w:sz w:val="26"/>
                <w:szCs w:val="26"/>
                <w:highlight w:val="white"/>
              </w:rPr>
              <w:t xml:space="preserve"> «Типовая инструкция по эксплуатации производственных зданий и  сооружений энергопредприятий. Часть II. Раздел 2. Технология ремонтов  зданий и сооружений»;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СП 48.13330.2019 «Свод правил. Организация строительства»;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- СП 70.13330.2012 Актуализированная редакция СНиП 3.03.01-87 Несущие и ограждающие конструкции;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- СП 63.13330.2018 «Бетонные и железобетонные конструкции. Основные положения. СНиП 52-01-2003 (с Изменениями N 1, 2)»;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- СП 327.1325800.2017 С</w:t>
            </w:r>
            <w:r>
              <w:rPr>
                <w:sz w:val="26"/>
                <w:szCs w:val="26"/>
              </w:rPr>
              <w:t>тены наружные с лицевым кирпичным слоем;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- СП 71.13330.2017 Актуализированная редакция СНиП 3.04.01-87 Изоляционные и отделочные покрытия;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  <w14:ligatures w14:val="none"/>
              </w:rPr>
              <w:t xml:space="preserve"> </w:t>
            </w:r>
            <w:r>
              <w:rPr>
                <w:sz w:val="26"/>
                <w:szCs w:val="26"/>
                <w:highlight w:val="white"/>
                <w14:ligatures w14:val="none"/>
              </w:rPr>
              <w:t>- ГОСТ 34378-2018 Конструкции ограждающие светопрозрачные. Окна и двери. Производство монтажных работ, контроль и требования к результатам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 xml:space="preserve">В случае, если </w:t>
            </w:r>
            <w:r>
              <w:rPr>
                <w:sz w:val="26"/>
                <w:szCs w:val="26"/>
              </w:rPr>
              <w:t>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69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организации работ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8503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Требования к организации процесса выполнения работ: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материально-технических и трудовых ресурсов. Подрядчик разрабатывает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Положения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 </w:t>
            </w:r>
            <w:r>
              <w:rPr>
                <w:rFonts w:eastAsia="Calibri"/>
                <w:bCs/>
                <w:sz w:val="26"/>
                <w:szCs w:val="26"/>
                <w:highlight w:val="white"/>
              </w:rPr>
              <w:t>(Приложение №5 к настоящим ТТ)</w:t>
            </w:r>
            <w:r>
              <w:rPr>
                <w:sz w:val="26"/>
                <w:szCs w:val="26"/>
              </w:rPr>
              <w:t xml:space="preserve"> (ведомостью дополнительных работ по р</w:t>
            </w:r>
            <w:r>
              <w:rPr>
                <w:bCs/>
                <w:sz w:val="26"/>
                <w:szCs w:val="26"/>
              </w:rPr>
              <w:t>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 начала ремонта Подрядчик: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- предоставляет Проект Производства Работ (ППР) с указанием общих методов и технологии работ, организационных вопросов с приложением графика выполнения работ (с указанием физических объёмов, потребных трудозатрат и материалов) для согласования Заказчиком;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</w:rPr>
              <w:t>- проводит проверку выполнения подготовительных работ в соответствии с планом подготовки к ремонту;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</w:rPr>
              <w:t>- 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работ;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</w:rPr>
              <w:t>- назначает руководителей работ по ремонту в соответствии с номенклатурой и объемом работ, принятым по договору;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</w:rPr>
              <w:t>- 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</w:rPr>
              <w:t>- проверяет удостоверения сварщиков, стропальщиков, крановщиков, и лиц других специальностей на право выполнения соответствующих работ;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проверяет выполнение требований допуска ремонтного и командированного персонала, предусмотренного п. 1.2.2 ТТ.</w:t>
            </w:r>
          </w:p>
          <w:p>
            <w:pPr>
              <w:pStyle w:val="Normal"/>
              <w:widowControl w:val="false"/>
              <w:spacing w:before="0" w:after="60"/>
              <w:ind w:firstLine="45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Руководитель работ подрядной организации, участвующей в производстве Работ совместно с представителями Заказчика, осуществляет входной контроль качества применяемых материалов, проводит оперативный контроль качества выполняемых ремонтных работ, проверяет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567" w:leader="none"/>
                <w:tab w:val="left" w:pos="709" w:leader="none"/>
              </w:tabs>
              <w:spacing w:before="0" w:after="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 – приложение №2.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</w:tr>
      <w:tr>
        <w:trPr>
          <w:trHeight w:val="2154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ind w:left="1000" w:hanging="43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1.2.2.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ind w:firstLine="456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  <w:t>Допуск персонала подрядчика для выполнения работ должен осуществляться в соответствии с: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spacing w:before="0" w:after="60"/>
              <w:ind w:left="35" w:hanging="3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  <w:t xml:space="preserve">Положением о допуске персонала строительно-монтажных организаций и командированного персонала к выполнению работ на объектах АО «ДГК» №22.1-504-2026 (утверждено приказом АО «ДГК» №П-ДГК/649 от 22.07.2026 г.) (Приложение №5 к настоящим </w:t>
            </w:r>
            <w:r>
              <w:rPr>
                <w:rFonts w:eastAsia="Calibri"/>
                <w:bCs/>
                <w:sz w:val="26"/>
                <w:szCs w:val="26"/>
                <w:highlight w:val="white"/>
                <w:lang w:val="en-US"/>
              </w:rPr>
              <w:t>ТТ</w:t>
            </w:r>
            <w:r>
              <w:rPr>
                <w:rFonts w:eastAsia="Calibri"/>
                <w:bCs/>
                <w:sz w:val="26"/>
                <w:szCs w:val="26"/>
                <w:highlight w:val="white"/>
              </w:rPr>
              <w:t>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  <w:t>Более подробно требования к допуску персонала подрядчика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6"/>
                <w:szCs w:val="26"/>
              </w:rPr>
              <w:t xml:space="preserve"> – приложение №2</w:t>
            </w:r>
            <w:r>
              <w:rPr>
                <w:rFonts w:eastAsia="Calibri"/>
                <w:bCs/>
                <w:sz w:val="26"/>
                <w:szCs w:val="26"/>
                <w:highlight w:val="white"/>
              </w:rPr>
              <w:t>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</w:tr>
      <w:tr>
        <w:trPr>
          <w:trHeight w:val="391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применяемым при выполнении работ оборудованию, материалам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1066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Требования к применяемым материалам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  <w:t xml:space="preserve">Материалы, необходимые для выполнения работ, приобретаются подрядчиком </w:t>
            </w:r>
            <w:r>
              <w:rPr>
                <w:rFonts w:eastAsia="Calibri"/>
                <w:bCs/>
                <w:sz w:val="26"/>
                <w:szCs w:val="26"/>
              </w:rPr>
              <w:t xml:space="preserve">самостоятельно в соответствии с приложением №3 к </w:t>
            </w:r>
            <w:r>
              <w:rPr>
                <w:rFonts w:eastAsia="Calibri"/>
                <w:bCs/>
                <w:sz w:val="26"/>
                <w:szCs w:val="26"/>
                <w:highlight w:val="white"/>
              </w:rPr>
              <w:t>настоящим ТТ</w:t>
            </w:r>
            <w:r>
              <w:rPr>
                <w:rFonts w:eastAsia="Calibri"/>
                <w:bCs/>
                <w:sz w:val="26"/>
                <w:szCs w:val="26"/>
              </w:rPr>
              <w:t xml:space="preserve"> - Ведомость материалов Подрядчика.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06" w:leader="none"/>
              </w:tabs>
              <w:spacing w:before="0" w:after="6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  <w:t xml:space="preserve">Все </w:t>
            </w:r>
            <w:r>
              <w:rPr>
                <w:rFonts w:eastAsia="Calibri" w:cs="Times New Roman"/>
                <w:sz w:val="26"/>
                <w:szCs w:val="26"/>
                <w:highlight w:val="white"/>
              </w:rPr>
              <w:t xml:space="preserve">применяемые в ходе ремонта </w:t>
            </w:r>
            <w:r>
              <w:rPr>
                <w:rFonts w:eastAsia="Calibri"/>
                <w:bCs/>
                <w:sz w:val="26"/>
                <w:szCs w:val="26"/>
                <w:highlight w:val="white"/>
              </w:rPr>
              <w:t>материалы должны быть новыми и не использованными ранее</w:t>
            </w:r>
            <w:r>
              <w:rPr>
                <w:rFonts w:eastAsia="Calibri"/>
                <w:bCs/>
                <w:sz w:val="26"/>
                <w:szCs w:val="26"/>
              </w:rPr>
              <w:t>. Под новыми следует понимать материалы, которые не были в употреблении, не проходили ремонт, в том числе восстановление потребительских свойств.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  <w:highlight w:val="white"/>
              </w:rPr>
              <w:t>Подрядчиком в работе может быть применена эквивалентная продукция*, предварительно согласованная с Заказчиком.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  <w:highlight w:val="white"/>
              </w:rPr>
              <w:t xml:space="preserve">В случае, если на этапе исполнения договора Подрядчиком, вместо материалов, указанных </w:t>
            </w:r>
            <w:r>
              <w:rPr>
                <w:bCs/>
                <w:sz w:val="26"/>
                <w:szCs w:val="26"/>
              </w:rPr>
              <w:t xml:space="preserve">в </w:t>
            </w:r>
            <w:r>
              <w:rPr>
                <w:rFonts w:eastAsia="Calibri"/>
                <w:bCs/>
                <w:sz w:val="26"/>
                <w:szCs w:val="26"/>
              </w:rPr>
              <w:t xml:space="preserve">приложении №3 к настоящим </w:t>
            </w:r>
            <w:r>
              <w:rPr>
                <w:rFonts w:eastAsia="Calibri"/>
                <w:bCs/>
                <w:sz w:val="26"/>
                <w:szCs w:val="26"/>
                <w:highlight w:val="white"/>
              </w:rPr>
              <w:t>ТТ</w:t>
            </w:r>
            <w:r>
              <w:rPr>
                <w:bCs/>
                <w:sz w:val="26"/>
                <w:szCs w:val="26"/>
                <w:highlight w:val="white"/>
              </w:rPr>
              <w:t>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406" w:leader="none"/>
              </w:tabs>
              <w:spacing w:before="0" w:after="60"/>
              <w:ind w:left="3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highlight w:val="white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указанным</w:t>
            </w:r>
            <w:r>
              <w:rPr>
                <w:rFonts w:eastAsia="Calibri"/>
                <w:sz w:val="26"/>
                <w:szCs w:val="26"/>
                <w:highlight w:val="white"/>
              </w:rPr>
              <w:t xml:space="preserve"> в документации о закупке, в том числе, по гарантийным срокам и срокам эксплуатации.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382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контролю качества работ и материалов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1995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Контроль качества используемых материалов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Материалы Подрядчика должны иметь сертификаты, паспорта и другие документы, подтверждающие их качество.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  <w:highlight w:val="white"/>
              </w:rPr>
              <w:t>При осуществлении Подрядчиком входного контроля качества строительных материалов и изделий, поступивших на ремонтную площадку, обязательное наличие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2835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Требования к контролю качества работ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5" w:type="dxa"/>
              <w:right w:w="55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Приемка в эксплуатацию и контроль качества ремонта должны производиться в соответствии с разделами №4.2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 (Приложение №5 к ТТ)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Более п</w:t>
            </w:r>
            <w:r>
              <w:rPr>
                <w:sz w:val="26"/>
                <w:szCs w:val="26"/>
                <w:highlight w:val="white"/>
              </w:rPr>
              <w:t>одробно требования указаны в проекте договора подряда (в том числе в разделе №2), который включен в состав Документации о закупке – приложение №2.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97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center" w:pos="4711" w:leader="none"/>
              </w:tabs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персоналу подрядчика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Общие требования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Подрядчик должен производить работы квалифицированными специалистами рабочих специальностей и располагать: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достаточным количеством аттестованного персонала, организованного по принципу комплексных специализированных бригад.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Квалификация персонала должна соответствовать видам выполняемых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До начала проведения работ в рамках исполнения договора после его заключения подрядчик предоставляет: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список персонала с указанием сведений  о квалификации персонала, разряде и группе по электробезопасности с приложением копий  удостоверений на производство специальных видов работ (сварочных, огневых, грузоподъемных, работ с электро - и пневмоинструментом).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401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безопасности работ и охране труда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</w:r>
          </w:p>
        </w:tc>
      </w:tr>
      <w:tr>
        <w:trPr>
          <w:trHeight w:val="3465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Требования к безопасности выполняемых работ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 СНиП 12-03-2001 «Безопасность труда в строительстве. Часть 1. Общие требования».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</w:t>
            </w:r>
            <w:r>
              <w:rPr>
                <w:iCs/>
                <w:sz w:val="26"/>
                <w:szCs w:val="26"/>
              </w:rPr>
              <w:t>- СНиП 12-04-2002 «Безопасность труда в строительстве. Часть 2. Строительное производство».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ourier New"/>
                <w:iCs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eastAsia="Courier New"/>
                <w:iCs/>
                <w:color w:val="000000"/>
                <w:sz w:val="26"/>
                <w:szCs w:val="26"/>
                <w:lang w:bidi="ru-RU"/>
              </w:rPr>
              <w:t xml:space="preserve">- </w:t>
            </w:r>
            <w:r>
              <w:rPr>
                <w:rFonts w:eastAsia="Courier New"/>
                <w:color w:val="000000"/>
                <w:sz w:val="26"/>
                <w:szCs w:val="26"/>
                <w:lang w:bidi="ru-RU"/>
              </w:rPr>
              <w:t>"Правила безопасности опасных производственных объектов, на которых используются подъемные сооружения" утвержденные приказом Федеральной службой по экологическому и атомному надзору от 26.11.2020 г. № 461.</w:t>
            </w:r>
          </w:p>
          <w:p>
            <w:pPr>
              <w:pStyle w:val="Normal"/>
              <w:widowControl w:val="false"/>
              <w:spacing w:before="0" w:after="0"/>
              <w:ind w:firstLine="31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5325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Соблюдение требований к пожарной безопасности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360" w:leader="none"/>
              </w:tabs>
              <w:spacing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- Правилах противопожарного режима в Российской Федерации, утверждены Постановлением Правительства РФ от 16.09.2020 № 1479;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360" w:leader="none"/>
              </w:tabs>
              <w:spacing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- Федеральный закон №123-ФЗ от 22.07.2008 «Технический регламент о требованиях пожарной безопасности».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- ГОСТ 12.1.004-91* Система стандартов безопасности труда. Пожарная безопасность. Общие требования.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Ремонтная площадка должна быть оснащена средствами пожаротушения.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6396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Соблюдение требований к охране окружающей среды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lineRule="auto" w:line="240"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Мероприятия и работы по охране окружающей среды вести в соответствии: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- Федеральный закон от 10.01.2002 № 7-ФЗ «Об охране окружающей среды» (ред. от 25.12.2023);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- Федеральный закон от 04.05.1999 № 96-ФЗ «Об охране атмосферного воздуха» (ред. от 13.06.2023);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- Водный кодекс Российской Федерации от 03.06.2006 N 74-ФЗ (ред. от 25.12.2023);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- СП 34.13330.2012 «Автомобильные дороги. Актуализированная редакция СНиП 2.05.02-85*»;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- ОДН 218.5.016-2002 «Показатели и нормы экологической безопасности автомобильной дороги» - Распоряжение Минтранс РФ от 25.12.2020 №ИС-1147-р.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1920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Соблюдение требований охраны труда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43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</w:p>
          <w:p>
            <w:pPr>
              <w:pStyle w:val="Normal"/>
              <w:widowControl w:val="false"/>
              <w:ind w:firstLine="43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</w:p>
          <w:p>
            <w:pPr>
              <w:pStyle w:val="Normal"/>
              <w:widowControl w:val="false"/>
              <w:ind w:firstLine="43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ind w:firstLine="28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ind w:hanging="0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Правилах по охране труда при строительстве, реконструкции и ремонте (</w:t>
            </w:r>
            <w:r>
              <w:rPr>
                <w:sz w:val="26"/>
                <w:szCs w:val="26"/>
                <w:highlight w:val="white"/>
              </w:rPr>
              <w:t>утверждены</w:t>
            </w:r>
            <w:r>
              <w:rPr>
                <w:sz w:val="26"/>
                <w:szCs w:val="26"/>
              </w:rPr>
              <w:t xml:space="preserve"> приказом Министерства труда и социальной защиты РФ от 11 декабря 2020 г. N 883н);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по охране труда при работе на высоте (утверждены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приказом Министерства труда от 16.11.2020 №782н)</w:t>
            </w:r>
            <w:r>
              <w:rPr>
                <w:sz w:val="26"/>
                <w:szCs w:val="26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по охране труда при работе с инструментом и приспособлениями (утверждены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>приказом Министерства труда от 27.11.2020 № 835н);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 по охране труда при обработке металлов (утверждены приказом Министерства труда и социальной защиты Российской Федерации от 11.12.2020г. №887н);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при погрузочно-разгрузочных работах и размещении грузов (утверждены приказом Министерства труда и социальной защиты Российской Федерации от 28.10.2020г. №753н);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при эксплуатации промышленного транспорта (напольный безрельсовый колесный транспорт) (утверждены приказом Министерства труда и социальной защиты Российской Федерации от 18.11.2020г. №814н);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Правилах при выполнении электросварочных и газосварочных работ (утверждены приказом Министерства труда и социальной защиты Российской Федерации от 11.12.2020г. №884н);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  <w:highlight w:val="white"/>
              </w:rPr>
              <w:t>равилах безопасности опасных производственных объектов, на которых используются подъемные сооружения (утверждены приказом Федеральной службы по экологическому, технологическому и атомному надзору от 26.11.2020г. №461).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72" w:leader="none"/>
              </w:tabs>
              <w:spacing w:before="0" w:after="60"/>
              <w:ind w:left="27"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72" w:leader="none"/>
              </w:tabs>
              <w:spacing w:before="0" w:after="60"/>
              <w:ind w:left="27" w:firstLine="283"/>
              <w:contextualSpacing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495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Требования к результатам работ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1065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  <w:highlight w:val="white"/>
              </w:rPr>
              <w:t>Состояние отремонтированных конструкций водоочистных сооружений Комсомольской ТЭЦ-2 должно соответствовать требованиям нормативно-технической документации на ремонт в течение гарантийного срока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855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0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highlight w:val="white"/>
              </w:rPr>
              <w:t>Требования к порядку приемки результатов работ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Подробно указаны в проекте договора подряда (в том числе в разделе №4), который включен в состав Документации о закупке</w:t>
            </w:r>
            <w:r>
              <w:rPr>
                <w:rFonts w:eastAsia="Calibri"/>
                <w:bCs/>
                <w:sz w:val="26"/>
                <w:szCs w:val="26"/>
              </w:rPr>
              <w:t xml:space="preserve"> – приложение №2</w:t>
            </w:r>
            <w:r>
              <w:rPr>
                <w:sz w:val="26"/>
                <w:szCs w:val="26"/>
                <w:highlight w:val="white"/>
              </w:rPr>
              <w:t>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437" w:hRule="exac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оформлению документации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343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0" w:firstLine="34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outlineLvl w:val="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Общие требования к оформлению документации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firstLine="39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Представить Заказчику с актами выполненных работ (в 3 (трёх) экземплярах, а также электронные версии Акта КС-2 и Справки КС-3 в формате *gsfx ПК «ГРАНД Сметы» на цифровом носителе) исполнительную документацию в электронном виде (в формате *.pdf) и на бумажном носителе в 3-х экземплярах. Исполнительная документация должна быть оформлена в соответствии с Приказом Минстроя и ЖКХ РФ №344/пр от 16.05.2023 г.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:highlight w:val="white"/>
              </w:rPr>
              <w:t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</w:t>
            </w:r>
            <w:r>
              <w:rPr>
                <w:sz w:val="26"/>
                <w:szCs w:val="26"/>
              </w:rPr>
              <w:t xml:space="preserve"> (Приложение №5 к ТТ).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34" w:hanging="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  <w:t>Состав документации включает в себя, но не ограничивается, следующие документы</w: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акт пред. ремонтного обследования объекта;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ведомость планируемых ремонтно-строительных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акт готовности объекта к производству ремонтных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акт приёмки из ремонта объекта;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акт освидетельствования скрытых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исполнительные чертежи, схемы;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паспорта качества, сертификаты соответствия,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счета-фактуры на материалы, закупаемые Подрядчиком для использования в процессе ремонта;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общий журнал работ, специальные журналы работ (соответствующие видам выполняемых работ);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документы о контроле качества сварных соединений, оформленных в соответствии с Регламентом оформления документации при проведении сварочных работ при монтаже и ремонте оборудования объектов АО «ДГК»;</w:t>
            </w:r>
          </w:p>
          <w:p>
            <w:pPr>
              <w:pStyle w:val="Normal"/>
              <w:widowControl w:val="false"/>
              <w:spacing w:before="0" w:after="60"/>
              <w:ind w:left="0" w:hanging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49" w:name="undefined"/>
            <w:r>
              <w:rPr>
                <w:sz w:val="26"/>
                <w:szCs w:val="26"/>
                <w:highlight w:val="white"/>
              </w:rPr>
              <w:t xml:space="preserve">Более подробно требования к оформлению документации  указаны в проекте договора подряда (в том числе в разделах №2, </w:t>
            </w:r>
            <w:bookmarkEnd w:id="49"/>
            <w:r>
              <w:rPr>
                <w:sz w:val="26"/>
                <w:szCs w:val="26"/>
                <w:highlight w:val="white"/>
              </w:rPr>
              <w:t>4), который включен в состав Документации о закупке – приложение №2.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2693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spacing w:before="40" w:after="6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  <w:highlight w:val="white"/>
              </w:rPr>
      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(утверждены Постановлением Правительства РФ от 28 мая 2021 г. N815);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Cs/>
                <w:sz w:val="26"/>
                <w:szCs w:val="26"/>
                <w:highlight w:val="white"/>
              </w:rPr>
              <w:t>Федеральный законом «О техническом регулировании» №184- ФЗ от 27.12.2002;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/>
            </w:pPr>
            <w:r>
              <w:rPr>
                <w:color w:val="000000" w:themeColor="text1"/>
                <w:sz w:val="26"/>
                <w:szCs w:val="26"/>
                <w:highlight w:val="white"/>
              </w:rPr>
              <w:t>"Правила промышленной безопасности при использовании оборудования, работающего под избыточным давлением"</w:t>
            </w:r>
            <w:r>
              <w:rPr>
                <w:rStyle w:val="FontStyle17"/>
                <w:color w:val="000000" w:themeColor="text1"/>
                <w:sz w:val="26"/>
                <w:szCs w:val="26"/>
                <w:highlight w:val="white"/>
              </w:rPr>
              <w:t xml:space="preserve"> утвержденные приказом Федеральной службой по экологическому, технологическому и атомному надзору от 15.12.2020 г. №536</w:t>
            </w:r>
            <w:r>
              <w:rPr>
                <w:rStyle w:val="FontStyle17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1185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spacing w:before="2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ответственности и гарантиям подрядчика</w:t>
            </w:r>
          </w:p>
          <w:p>
            <w:pPr>
              <w:pStyle w:val="Normal"/>
              <w:widowControl w:val="false"/>
              <w:ind w:firstLine="42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Courier New"/>
                <w:color w:val="000000"/>
                <w:sz w:val="26"/>
                <w:szCs w:val="26"/>
                <w:highlight w:val="white"/>
                <w:lang w:bidi="ru-RU"/>
              </w:rPr>
              <w:t>Подробно требования к ответственности</w:t>
            </w:r>
            <w:r>
              <w:rPr>
                <w:b/>
                <w:sz w:val="26"/>
                <w:szCs w:val="26"/>
                <w:highlight w:val="white"/>
              </w:rPr>
              <w:t xml:space="preserve">, </w:t>
            </w:r>
            <w:r>
              <w:rPr>
                <w:rFonts w:eastAsia="Courier New"/>
                <w:color w:val="000000"/>
                <w:sz w:val="26"/>
                <w:szCs w:val="26"/>
                <w:highlight w:val="white"/>
                <w:lang w:bidi="ru-RU"/>
              </w:rPr>
              <w:t>сроку и объему предоставления гарантий указаны в проекте договора подряда (в том числе в разделах №6 и №7), который включен в состав Документации о закупке</w:t>
            </w:r>
            <w:r>
              <w:rPr>
                <w:rFonts w:eastAsia="Calibri"/>
                <w:bCs/>
                <w:sz w:val="26"/>
                <w:szCs w:val="26"/>
              </w:rPr>
              <w:t xml:space="preserve"> – приложение №2</w:t>
            </w:r>
            <w:r>
              <w:rPr>
                <w:rFonts w:eastAsia="Courier New"/>
                <w:color w:val="000000"/>
                <w:sz w:val="26"/>
                <w:szCs w:val="26"/>
                <w:highlight w:val="white"/>
                <w:lang w:bidi="ru-RU"/>
              </w:rPr>
              <w:t>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</w:tr>
      <w:tr>
        <w:trPr>
          <w:trHeight w:val="1530" w:hRule="atLeast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eastAsia="Calibri"/>
                <w:sz w:val="26"/>
                <w:szCs w:val="26"/>
                <w:highlight w:val="white"/>
              </w:rPr>
            </w:r>
          </w:p>
        </w:tc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white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Normal"/>
              <w:widowControl w:val="false"/>
              <w:spacing w:before="0" w:after="60"/>
              <w:ind w:firstLine="425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Требования к субподрядным организациям, привлекаемым к выполнению работ: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6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  <w:highlight w:val="white"/>
              </w:rPr>
              <w:t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6"/>
                <w:szCs w:val="26"/>
              </w:rPr>
              <w:t xml:space="preserve"> – приложение №2.</w:t>
            </w:r>
          </w:p>
        </w:tc>
        <w:tc>
          <w:tcPr>
            <w:tcW w:w="1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2325" w:hRule="atLeast"/>
        </w:trPr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9"/>
                <w:tab w:val="left" w:pos="0" w:leader="none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b/>
                <w:bCs/>
                <w:sz w:val="26"/>
                <w:szCs w:val="26"/>
                <w14:ligatures w14:val="none"/>
              </w:rPr>
            </w:r>
          </w:p>
        </w:tc>
        <w:tc>
          <w:tcPr>
            <w:tcW w:w="13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Требования к победителю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/>
                <w:sz w:val="26"/>
                <w:szCs w:val="26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победителем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закупочной процедуры, в течение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u w:val="single"/>
              </w:rPr>
              <w:t xml:space="preserve">5 (пяти) рабочих дней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после размещения протокола подведения итогов закупки на сайте </w:t>
            </w:r>
            <w:hyperlink r:id="rId6" w:tgtFrame="http://www.zakupki.gov.ru">
              <w:r>
                <w:rPr>
                  <w:rStyle w:val="Hyperlink"/>
                  <w:rFonts w:eastAsia="Times New Roman" w:cs="Times New Roman"/>
                  <w:sz w:val="26"/>
                  <w:szCs w:val="26"/>
                </w:rPr>
                <w:t>www.zakupki.gov.ru</w:t>
              </w:r>
            </w:hyperlink>
            <w:r>
              <w:rPr>
                <w:rFonts w:eastAsia="Times New Roman" w:cs="Times New Roman"/>
                <w:sz w:val="26"/>
                <w:szCs w:val="26"/>
              </w:rPr>
              <w:t xml:space="preserve"> (до заключения договора), должен предоставить в адрес Заказчика на электронный адрес</w:t>
            </w:r>
            <w:r>
              <w:rPr>
                <w:rFonts w:eastAsia="Times New Roman" w:cs="Times New Roman"/>
                <w:sz w:val="26"/>
                <w:szCs w:val="26"/>
                <w:highlight w:val="white"/>
              </w:rPr>
              <w:t xml:space="preserve"> (</w:t>
            </w:r>
            <w:hyperlink r:id="rId7" w:tgtFrame="Click to mail Чувашев Вадим Борисович &lt;chuvashev-vb@dgk.ru&gt;">
              <w:r>
                <w:rPr>
                  <w:rStyle w:val="Hyperlink"/>
                  <w:rFonts w:eastAsia="Times New Roman" w:cs="Times New Roman"/>
                  <w:color w:val="0000EE"/>
                  <w:sz w:val="26"/>
                  <w:szCs w:val="26"/>
                  <w:highlight w:val="white"/>
                  <w:u w:val="single"/>
                </w:rPr>
                <w:t>chuvashev-vb@dgk.ru</w:t>
              </w:r>
            </w:hyperlink>
            <w:r>
              <w:rPr>
                <w:rFonts w:eastAsia="Times New Roman" w:cs="Times New Roman"/>
                <w:sz w:val="26"/>
                <w:szCs w:val="26"/>
                <w:highlight w:val="white"/>
              </w:rPr>
              <w:t xml:space="preserve">) </w:t>
            </w:r>
            <w:r>
              <w:rPr>
                <w:rFonts w:eastAsia="Times New Roman" w:cs="Times New Roman"/>
                <w:sz w:val="26"/>
                <w:szCs w:val="26"/>
              </w:rPr>
              <w:t>дополнительные документы.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</w:p>
        </w:tc>
      </w:tr>
      <w:tr>
        <w:trPr>
          <w:trHeight w:val="948" w:hRule="atLeast"/>
        </w:trPr>
        <w:tc>
          <w:tcPr>
            <w:tcW w:w="15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Normal"/>
              <w:widowControl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6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BodyText"/>
              <w:widowControl w:val="false"/>
              <w:shd w:val="clear" w:color="auto" w:fill="FFFFFF" w:themeFill="background1"/>
              <w:spacing w:before="0" w:after="0"/>
              <w:ind w:left="0" w:right="0" w:hanging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shd w:fill="FFFFFF" w:val="clear"/>
                <w:lang w:val="ru-RU" w:eastAsia="en-US" w:bidi="ar-SA"/>
              </w:rPr>
              <w:t>Требования к кадровым ресурсам Победителя:</w:t>
            </w:r>
          </w:p>
          <w:p>
            <w:pPr>
              <w:pStyle w:val="BodyText"/>
              <w:widowControl w:val="false"/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Согласно требования:</w:t>
            </w:r>
          </w:p>
          <w:p>
            <w:pPr>
              <w:pStyle w:val="BodyText"/>
              <w:widowControl w:val="false"/>
              <w:spacing w:before="0"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fill="FFFFFF" w:val="clear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</w:r>
          </w:p>
          <w:p>
            <w:pPr>
              <w:pStyle w:val="BodyText"/>
              <w:widowControl w:val="false"/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1) п.92 Постановления правительства Российской федерации от 24.12.2021 г. № 2464 «О порядке обучения по охране труда и проверки знаний требований охраны труда».</w:t>
            </w:r>
          </w:p>
          <w:p>
            <w:pPr>
              <w:pStyle w:val="BodyText"/>
              <w:widowControl w:val="false"/>
              <w:spacing w:before="0" w:after="0"/>
              <w:ind w:right="0" w:hanging="0"/>
              <w:rPr>
                <w:rFonts w:ascii="Times New Roman" w:hAnsi="Times New Roman"/>
                <w:color w:val="000000"/>
                <w:sz w:val="26"/>
                <w:szCs w:val="26"/>
                <w:shd w:fill="FFFFFF" w:val="clear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</w:r>
          </w:p>
          <w:p>
            <w:pPr>
              <w:pStyle w:val="BodyText"/>
              <w:widowControl w:val="false"/>
              <w:spacing w:before="0" w:after="0"/>
              <w:ind w:right="0" w:hanging="0"/>
              <w:rPr>
                <w:rFonts w:ascii="Times New Roman" w:hAnsi="Times New Roman"/>
                <w:color w:val="000000"/>
                <w:sz w:val="26"/>
                <w:szCs w:val="26"/>
                <w:shd w:fill="FFFFFF" w:val="clear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</w:r>
          </w:p>
          <w:p>
            <w:pPr>
              <w:pStyle w:val="BodyText"/>
              <w:widowControl w:val="false"/>
              <w:spacing w:before="0" w:after="0"/>
              <w:ind w:right="0" w:hanging="0"/>
              <w:rPr>
                <w:rFonts w:ascii="Times New Roman" w:hAnsi="Times New Roman"/>
                <w:color w:val="000000"/>
                <w:sz w:val="26"/>
                <w:szCs w:val="26"/>
                <w:shd w:fill="FFFFFF" w:val="clear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</w:r>
          </w:p>
          <w:p>
            <w:pPr>
              <w:pStyle w:val="BodyText"/>
              <w:widowControl w:val="false"/>
              <w:spacing w:before="0" w:after="0"/>
              <w:ind w:right="0" w:hanging="0"/>
              <w:rPr>
                <w:rFonts w:ascii="Times New Roman" w:hAnsi="Times New Roman"/>
                <w:color w:val="000000"/>
                <w:sz w:val="26"/>
                <w:szCs w:val="26"/>
                <w:shd w:fill="FFFFFF" w:val="clear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</w:r>
          </w:p>
          <w:p>
            <w:pPr>
              <w:pStyle w:val="BodyText"/>
              <w:widowControl w:val="false"/>
              <w:spacing w:before="0" w:after="0"/>
              <w:ind w:right="0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2) Согласно п.13, п. 14, п.15 «Правил по охране труда при работе на высоте», утвержденных Министерством труда и социальной защиты Российской Федерации от 16.11.2020  № 782Н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before="0" w:after="0"/>
              <w:ind w:left="113" w:right="0" w:firstLine="283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иметь в наличии не менее 3-х человек  имеющих допуск работы на высоте.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before="0" w:after="0"/>
              <w:ind w:left="113" w:right="0" w:firstLine="283"/>
              <w:jc w:val="left"/>
              <w:rPr>
                <w:rFonts w:ascii="Times New Roman" w:hAnsi="Times New Roman"/>
                <w:color w:val="000000"/>
                <w:sz w:val="26"/>
                <w:szCs w:val="26"/>
                <w:shd w:fill="FFFFFF" w:val="clear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</w:r>
          </w:p>
          <w:p>
            <w:pPr>
              <w:pStyle w:val="BodyText"/>
              <w:widowControl w:val="false"/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shd w:fill="FFFFFF" w:val="clear"/>
              </w:rPr>
              <w:t>Требования к материально техническим ресурсам Победителя:</w:t>
            </w:r>
          </w:p>
          <w:p>
            <w:pPr>
              <w:pStyle w:val="BodyText"/>
              <w:widowControl w:val="false"/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3)  Победитель должен иметь в наличии на законных основаниях (на правах собственности / аренды/ лизинга /ином законном праве использования, владения) минимальное количество транспортных средств, а именно: автомобиль-самосвал грузоподьемностью до 15 тонн  не менее 1-го (для перевозки грузов 1-го класса)</w:t>
            </w:r>
          </w:p>
        </w:tc>
        <w:tc>
          <w:tcPr>
            <w:tcW w:w="6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>
            <w:pPr>
              <w:pStyle w:val="BodyText"/>
              <w:widowControl w:val="false"/>
              <w:ind w:right="141" w:hanging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highlight w:val="white"/>
                <w:u w:val="single"/>
                <w:shd w:fill="FFFFFF" w:val="clear"/>
              </w:rPr>
              <w:t>Подтверждается :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ahoma" w:cs="Droid Sans Devanagari"/>
                <w:color w:val="000000"/>
                <w:kern w:val="0"/>
                <w:sz w:val="26"/>
                <w:szCs w:val="26"/>
                <w:shd w:fill="FFFFFF" w:val="clear"/>
                <w:lang w:val="ru-RU" w:eastAsia="ru-RU" w:bidi="ar-SA"/>
              </w:rPr>
            </w:pPr>
            <w:r>
              <w:rPr>
                <w:rFonts w:eastAsia="Tahoma" w:cs="Droid Sans Devanagari"/>
                <w:color w:val="000000"/>
                <w:kern w:val="0"/>
                <w:sz w:val="26"/>
                <w:szCs w:val="26"/>
                <w:shd w:fill="FFFFFF" w:val="clear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ahoma" w:cs="Droid Sans Devanagari"/>
                <w:color w:val="000000"/>
                <w:kern w:val="0"/>
                <w:sz w:val="26"/>
                <w:szCs w:val="26"/>
                <w:shd w:fill="FFFFFF" w:val="clear"/>
                <w:lang w:val="ru-RU" w:eastAsia="ru-RU" w:bidi="ar-SA"/>
              </w:rPr>
              <w:t>1. Копии протокола (-ов) заседания комиссии по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 и заверенные руководителем подрядной организации или уполномоченным лицом.</w:t>
            </w:r>
          </w:p>
          <w:p>
            <w:pPr>
              <w:pStyle w:val="BodyText"/>
              <w:widowControl w:val="false"/>
              <w:suppressAutoHyphens w:val="true"/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ahoma" w:cs="Droid Sans Devanagari"/>
                <w:color w:val="000000"/>
                <w:kern w:val="0"/>
                <w:sz w:val="26"/>
                <w:szCs w:val="26"/>
                <w:shd w:fill="FFFFFF" w:val="clear"/>
                <w:lang w:val="ru-RU" w:eastAsia="ru-RU" w:bidi="ar-SA"/>
              </w:rPr>
            </w:pPr>
            <w:r>
              <w:rPr>
                <w:rFonts w:eastAsia="Tahoma" w:cs="Droid Sans Devanagari"/>
                <w:color w:val="000000"/>
                <w:kern w:val="0"/>
                <w:sz w:val="26"/>
                <w:szCs w:val="26"/>
                <w:shd w:fill="FFFFFF" w:val="clear"/>
                <w:lang w:val="ru-RU" w:eastAsia="ru-RU" w:bidi="ar-SA"/>
              </w:rPr>
            </w:r>
          </w:p>
          <w:p>
            <w:pPr>
              <w:pStyle w:val="BodyText"/>
              <w:widowControl w:val="false"/>
              <w:spacing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2) Копию документа, подтверждающего наличие соответствующей группы безопасности работ на высоте: у ответственного руководителя работ III группа, у производителя  работ II группы, члена бригады I группы.</w:t>
            </w:r>
          </w:p>
          <w:p>
            <w:pPr>
              <w:pStyle w:val="BodyText"/>
              <w:widowControl w:val="false"/>
              <w:spacing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BodyText"/>
              <w:widowControl w:val="false"/>
              <w:spacing w:before="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3) Копию свидетельства о регистрации транспортного средства либо копию ПТС/ПСМ (в случае наличия на правах собственности);</w:t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3.1) Копии, заверенных Участником документов (в случае отсутствия собственных МТР), по своему усмотрению из перечисленных:</w:t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ind w:left="145" w:right="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- договор аренды/ договор на оказание услуг машин и механизмов,</w:t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ind w:left="145" w:right="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- соглашение о намерениях заключить договор аренды/ соглашение о намерениях заключить договор на оказание услуг машин и механизмов, указанных приложении №1 к настоящим Техническим требованиям.</w:t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ind w:left="145" w:right="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- гарантийное письмо о заключении договора аренды/ гарантийное письмо о заключении договора на оказание услуг транспортом, указанном в приложении №1 к настоящим Техническим требованиям.</w:t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ind w:left="145" w:right="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- иные документы, подтверждающие право владения/ распоряжения.</w:t>
            </w:r>
          </w:p>
          <w:p>
            <w:pPr>
              <w:pStyle w:val="BodyText"/>
              <w:widowControl w:val="false"/>
              <w:shd w:val="clear" w:fill="FFFFFF"/>
              <w:spacing w:lineRule="auto" w:line="240" w:before="120" w:after="0"/>
              <w:ind w:left="145" w:right="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fill="FFFFFF" w:val="clear"/>
              </w:rPr>
              <w:t>3.2) В случае привлечения для исполнения обязательств по договору третьих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</w:p>
        </w:tc>
      </w:tr>
    </w:tbl>
    <w:p>
      <w:pPr>
        <w:sectPr>
          <w:headerReference w:type="default" r:id="rId8"/>
          <w:headerReference w:type="first" r:id="rId9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numPr>
          <w:ilvl w:val="0"/>
          <w:numId w:val="1"/>
        </w:numPr>
        <w:ind w:left="0" w:hanging="0"/>
        <w:jc w:val="center"/>
        <w:rPr>
          <w:rFonts w:ascii="Times New Roman" w:hAnsi="Times New Roman"/>
          <w:sz w:val="26"/>
          <w:szCs w:val="26"/>
        </w:rPr>
      </w:pPr>
      <w:bookmarkStart w:id="50" w:name="_Toc139017639"/>
      <w:bookmarkStart w:id="51" w:name="_Toc129956751"/>
      <w:bookmarkStart w:id="52" w:name="_Toc54646411"/>
      <w:bookmarkStart w:id="53" w:name="_Toc53393312"/>
      <w:r>
        <w:rPr>
          <w:sz w:val="26"/>
          <w:szCs w:val="26"/>
          <w:highlight w:val="white"/>
        </w:rPr>
        <w:t>Требования к документации по ценообразованию</w:t>
      </w:r>
      <w:bookmarkEnd w:id="51"/>
      <w:bookmarkEnd w:id="52"/>
      <w:bookmarkEnd w:id="53"/>
      <w:r>
        <w:rPr>
          <w:sz w:val="26"/>
          <w:szCs w:val="26"/>
          <w:highlight w:val="white"/>
        </w:rPr>
        <w:t xml:space="preserve"> на этапе закупки</w:t>
      </w:r>
      <w:bookmarkEnd w:id="50"/>
    </w:p>
    <w:p>
      <w:pPr>
        <w:pStyle w:val="Normal"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6"/>
          <w:szCs w:val="26"/>
        </w:rPr>
      </w:pPr>
      <w:bookmarkStart w:id="54" w:name="_Toc139017640"/>
      <w:bookmarkStart w:id="55" w:name="_Toc127264349"/>
      <w:bookmarkStart w:id="56" w:name="_Toc129956752"/>
      <w:bookmarkStart w:id="57" w:name="_Toc127364999"/>
      <w:bookmarkStart w:id="58" w:name="_Toc127261028"/>
      <w:r>
        <w:rPr>
          <w:b/>
          <w:sz w:val="26"/>
          <w:szCs w:val="26"/>
          <w:highlight w:val="white"/>
        </w:rPr>
        <w:t>3.1.</w:t>
      </w:r>
      <w:bookmarkEnd w:id="58"/>
      <w:r>
        <w:rPr>
          <w:sz w:val="26"/>
          <w:szCs w:val="26"/>
          <w:highlight w:val="white"/>
        </w:rPr>
        <w:t xml:space="preserve"> </w:t>
      </w:r>
      <w:bookmarkEnd w:id="55"/>
      <w:bookmarkEnd w:id="56"/>
      <w:bookmarkEnd w:id="57"/>
      <w:r>
        <w:rPr>
          <w:rFonts w:eastAsia="Calibri"/>
          <w:sz w:val="26"/>
          <w:szCs w:val="26"/>
          <w:highlight w:val="whit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bookmarkEnd w:id="54"/>
    </w:p>
    <w:p>
      <w:pPr>
        <w:pStyle w:val="Normal"/>
        <w:spacing w:lineRule="auto" w:line="360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  <w:highlight w:val="white"/>
        </w:rPr>
        <w:t>Стоимость предложений участников определяется по формуле: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  <w:highlight w:val="white"/>
        </w:rPr>
        <w:t>P=N*k,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  <w:highlight w:val="white"/>
        </w:rPr>
        <w:t>где P – стоимость предложения участника;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  <w:highlight w:val="white"/>
        </w:rPr>
        <w:t>N – начальная (максимальная) цена договора, определенная в соответствии со сметной документацией Заказчика, приведенной в приложении №4 к настоящим Техническим требованиям;</w:t>
      </w:r>
    </w:p>
    <w:p>
      <w:pPr>
        <w:pStyle w:val="Normal"/>
        <w:spacing w:lineRule="auto" w:line="360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sz w:val="26"/>
          <w:szCs w:val="26"/>
          <w:highlight w:val="white"/>
        </w:rPr>
        <w:t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</w:p>
    <w:p>
      <w:pPr>
        <w:pStyle w:val="Normal"/>
        <w:spacing w:lineRule="auto" w:line="360"/>
        <w:rPr>
          <w:rFonts w:ascii="Times New Roman" w:hAnsi="Times New Roman" w:eastAsia="Calibri"/>
          <w:sz w:val="26"/>
          <w:szCs w:val="26"/>
          <w:highlight w:val="white"/>
        </w:rPr>
      </w:pPr>
      <w:r>
        <w:rPr>
          <w:rFonts w:eastAsia="Calibri"/>
          <w:sz w:val="26"/>
          <w:szCs w:val="26"/>
          <w:highlight w:val="white"/>
        </w:rPr>
      </w:r>
    </w:p>
    <w:p>
      <w:pPr>
        <w:pStyle w:val="Heading4"/>
        <w:numPr>
          <w:ilvl w:val="0"/>
          <w:numId w:val="0"/>
        </w:numPr>
        <w:spacing w:lineRule="auto" w:line="360"/>
        <w:ind w:left="0" w:hanging="0"/>
        <w:rPr>
          <w:rFonts w:ascii="Times New Roman" w:hAnsi="Times New Roman"/>
          <w:sz w:val="26"/>
          <w:szCs w:val="26"/>
        </w:rPr>
      </w:pPr>
      <w:bookmarkStart w:id="59" w:name="_Toc139017641"/>
      <w:bookmarkStart w:id="60" w:name="_Toc129956753"/>
      <w:bookmarkStart w:id="61" w:name="_Toc127365000"/>
      <w:bookmarkStart w:id="62" w:name="_Toc127264350"/>
      <w:bookmarkStart w:id="63" w:name="_Toc127261030"/>
      <w:r>
        <w:rPr>
          <w:b/>
          <w:sz w:val="26"/>
          <w:szCs w:val="26"/>
          <w:highlight w:val="white"/>
        </w:rPr>
        <w:t>3.2.</w:t>
      </w:r>
      <w:r>
        <w:rPr>
          <w:sz w:val="26"/>
          <w:szCs w:val="26"/>
          <w:highlight w:val="white"/>
        </w:rPr>
        <w:t xml:space="preserve"> Дополнительные документы по ценообразованию (сметная документация) в состав заявки Участника не включаются.</w:t>
      </w:r>
      <w:bookmarkEnd w:id="59"/>
      <w:bookmarkEnd w:id="60"/>
      <w:bookmarkEnd w:id="61"/>
      <w:bookmarkEnd w:id="62"/>
      <w:bookmarkEnd w:id="63"/>
      <w:r>
        <w:br w:type="page"/>
      </w:r>
    </w:p>
    <w:p>
      <w:pPr>
        <w:pStyle w:val="Heading1"/>
        <w:numPr>
          <w:ilvl w:val="0"/>
          <w:numId w:val="1"/>
        </w:numPr>
        <w:ind w:left="567" w:hanging="567"/>
        <w:jc w:val="center"/>
        <w:rPr>
          <w:rFonts w:ascii="Times New Roman" w:hAnsi="Times New Roman"/>
          <w:sz w:val="26"/>
          <w:szCs w:val="26"/>
        </w:rPr>
      </w:pPr>
      <w:bookmarkStart w:id="64" w:name="_Toc139017642"/>
      <w:bookmarkStart w:id="65" w:name="_Toc129956755"/>
      <w:bookmarkStart w:id="66" w:name="_Toc54646412"/>
      <w:r>
        <w:rPr>
          <w:sz w:val="26"/>
          <w:szCs w:val="26"/>
          <w:highlight w:val="white"/>
        </w:rPr>
        <w:t>Требования к документации по ценообразованию на этапе заключения (исполнения) договора</w:t>
      </w:r>
      <w:bookmarkEnd w:id="64"/>
      <w:bookmarkEnd w:id="65"/>
      <w:bookmarkEnd w:id="66"/>
    </w:p>
    <w:p>
      <w:pPr>
        <w:pStyle w:val="Heading4"/>
        <w:numPr>
          <w:ilvl w:val="1"/>
          <w:numId w:val="36"/>
        </w:numPr>
        <w:spacing w:lineRule="auto" w:line="276" w:before="120" w:after="60"/>
        <w:contextualSpacing/>
        <w:jc w:val="left"/>
        <w:rPr>
          <w:rFonts w:ascii="Times New Roman" w:hAnsi="Times New Roman"/>
          <w:sz w:val="26"/>
          <w:szCs w:val="26"/>
        </w:rPr>
      </w:pPr>
      <w:bookmarkStart w:id="67" w:name="_Toc139017643"/>
      <w:r>
        <w:rPr>
          <w:sz w:val="26"/>
          <w:szCs w:val="26"/>
          <w:highlight w:val="white"/>
        </w:rPr>
        <w:t>Требования к составлению сметной документации (при заключении договора):</w:t>
      </w:r>
      <w:bookmarkEnd w:id="67"/>
    </w:p>
    <w:p>
      <w:pPr>
        <w:pStyle w:val="Heading3"/>
        <w:numPr>
          <w:ilvl w:val="2"/>
          <w:numId w:val="37"/>
        </w:numPr>
        <w:spacing w:lineRule="auto" w:line="276" w:before="120" w:after="60"/>
        <w:ind w:left="0" w:firstLine="720"/>
        <w:contextualSpacing/>
        <w:jc w:val="left"/>
        <w:rPr>
          <w:rFonts w:ascii="Times New Roman" w:hAnsi="Times New Roman"/>
          <w:sz w:val="26"/>
          <w:szCs w:val="26"/>
        </w:rPr>
      </w:pPr>
      <w:bookmarkStart w:id="68" w:name="_Toc139017644"/>
      <w:r>
        <w:rPr>
          <w:sz w:val="26"/>
          <w:szCs w:val="26"/>
          <w:highlight w:val="whit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локальной смете единым индексом в итогах.</w:t>
      </w:r>
      <w:bookmarkEnd w:id="68"/>
    </w:p>
    <w:p>
      <w:pPr>
        <w:pStyle w:val="Heading3"/>
        <w:numPr>
          <w:ilvl w:val="2"/>
          <w:numId w:val="38"/>
        </w:numPr>
        <w:spacing w:lineRule="auto" w:line="276" w:before="120" w:after="60"/>
        <w:ind w:left="0" w:firstLine="720"/>
        <w:contextualSpacing/>
        <w:jc w:val="left"/>
        <w:rPr>
          <w:rFonts w:ascii="Times New Roman" w:hAnsi="Times New Roman"/>
          <w:sz w:val="26"/>
          <w:szCs w:val="26"/>
        </w:rPr>
      </w:pPr>
      <w:bookmarkStart w:id="69" w:name="_Toc139017645"/>
      <w:r>
        <w:rPr>
          <w:bCs/>
          <w:sz w:val="26"/>
          <w:szCs w:val="26"/>
          <w:highlight w:val="white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  <w:bookmarkEnd w:id="69"/>
    </w:p>
    <w:p>
      <w:pPr>
        <w:pStyle w:val="Heading4"/>
        <w:numPr>
          <w:ilvl w:val="1"/>
          <w:numId w:val="39"/>
        </w:numPr>
        <w:spacing w:lineRule="auto" w:line="276" w:before="120" w:after="60"/>
        <w:contextualSpacing/>
        <w:jc w:val="left"/>
        <w:rPr>
          <w:rFonts w:ascii="Times New Roman" w:hAnsi="Times New Roman"/>
          <w:sz w:val="26"/>
          <w:szCs w:val="26"/>
        </w:rPr>
      </w:pPr>
      <w:bookmarkStart w:id="70" w:name="_Toc139017647"/>
      <w:r>
        <w:rPr>
          <w:sz w:val="26"/>
          <w:szCs w:val="26"/>
          <w:highlight w:val="white"/>
        </w:rPr>
        <w:t>Требования к составлению сметной документации (на этапе исполнения договора):</w:t>
      </w:r>
      <w:bookmarkEnd w:id="70"/>
    </w:p>
    <w:p>
      <w:pPr>
        <w:pStyle w:val="Heading3"/>
        <w:numPr>
          <w:ilvl w:val="2"/>
          <w:numId w:val="40"/>
        </w:numPr>
        <w:spacing w:lineRule="auto" w:line="276" w:before="120" w:after="60"/>
        <w:ind w:left="0" w:firstLine="720"/>
        <w:contextualSpacing/>
        <w:jc w:val="left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71" w:name="_Hlk67324513"/>
      <w:r>
        <w:rPr>
          <w:sz w:val="26"/>
          <w:szCs w:val="26"/>
          <w:highlight w:val="white"/>
        </w:rPr>
        <w:t xml:space="preserve">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</w:t>
      </w:r>
      <w:bookmarkEnd w:id="71"/>
      <w:r>
        <w:rPr>
          <w:sz w:val="26"/>
          <w:szCs w:val="26"/>
          <w:highlight w:val="white"/>
        </w:rPr>
        <w:t>(п. 4.1.1).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Normal"/>
        <w:spacing w:lineRule="auto" w:line="276" w:before="0" w:after="0"/>
        <w:contextualSpacing/>
        <w:rPr>
          <w:rFonts w:ascii="Times New Roman" w:hAnsi="Times New Roman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Heading1"/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bookmarkStart w:id="72" w:name="_Toc51339699"/>
      <w:bookmarkStart w:id="73" w:name="_Toc46743519"/>
      <w:bookmarkStart w:id="74" w:name="_Toc54646413"/>
      <w:bookmarkStart w:id="75" w:name="_Toc139017650"/>
      <w:bookmarkStart w:id="76" w:name="_Toc129956760"/>
      <w:r>
        <w:rPr>
          <w:sz w:val="26"/>
          <w:szCs w:val="26"/>
          <w:highlight w:val="white"/>
        </w:rPr>
        <w:t>Приложения</w:t>
      </w:r>
      <w:bookmarkEnd w:id="72"/>
      <w:bookmarkEnd w:id="73"/>
      <w:bookmarkEnd w:id="74"/>
      <w:bookmarkEnd w:id="75"/>
      <w:bookmarkEnd w:id="76"/>
    </w:p>
    <w:p>
      <w:pPr>
        <w:pStyle w:val="Normal"/>
        <w:keepNext w:val="true"/>
        <w:keepLines/>
        <w:spacing w:before="0" w:after="120"/>
        <w:rPr>
          <w:rFonts w:ascii="Times New Roman" w:hAnsi="Times New Roman"/>
          <w:b w:val="false"/>
          <w:bCs/>
          <w:iCs/>
          <w:sz w:val="26"/>
          <w:szCs w:val="26"/>
          <w:highlight w:val="white"/>
        </w:rPr>
      </w:pPr>
      <w:r>
        <w:rPr>
          <w:b w:val="false"/>
          <w:bCs/>
          <w:iCs/>
          <w:sz w:val="26"/>
          <w:szCs w:val="26"/>
          <w:highlight w:val="white"/>
        </w:rPr>
      </w:r>
    </w:p>
    <w:p>
      <w:pPr>
        <w:pStyle w:val="Normal"/>
        <w:spacing w:lineRule="auto" w:line="259" w:before="0" w:after="160"/>
        <w:ind w:left="360" w:hanging="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Приложение №1 – Требования к оформлению и составлению документации по ценообразованию.</w:t>
      </w:r>
    </w:p>
    <w:p>
      <w:pPr>
        <w:pStyle w:val="Normal"/>
        <w:spacing w:lineRule="auto" w:line="259" w:before="0" w:after="160"/>
        <w:ind w:left="360" w:hanging="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Приложение №2 – Ведомость объёмов работ.</w:t>
      </w:r>
    </w:p>
    <w:p>
      <w:pPr>
        <w:pStyle w:val="Normal"/>
        <w:spacing w:lineRule="auto" w:line="259" w:before="0" w:after="160"/>
        <w:ind w:left="360" w:hanging="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Приложение №3 - Ведомость материалов Подрядчика.</w:t>
      </w:r>
    </w:p>
    <w:p>
      <w:pPr>
        <w:pStyle w:val="Normal"/>
        <w:spacing w:lineRule="auto" w:line="259" w:before="0" w:after="160"/>
        <w:ind w:left="360" w:hanging="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Приложение №4 - Локальный сметный расчёт.</w:t>
      </w:r>
    </w:p>
    <w:p>
      <w:pPr>
        <w:pStyle w:val="Normal"/>
        <w:spacing w:lineRule="auto" w:line="259" w:before="0" w:after="160"/>
        <w:ind w:left="360" w:hanging="0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>Приложение №5 – Локальные нормативные акты Заказчика.</w:t>
      </w:r>
    </w:p>
    <w:sectPr>
      <w:headerReference w:type="default" r:id="rId10"/>
      <w:headerReference w:type="first" r:id="rId11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36360" rIns="36360" tIns="-2088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19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0"/>
        <w:szCs w:val="20"/>
      </w:rPr>
    </w:pPr>
    <w:r>
      <w:rPr>
        <w:sz w:val="20"/>
        <w:szCs w:val="20"/>
      </w:rPr>
      <w:t>5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20</w:t>
    </w:r>
    <w:r>
      <w:rPr/>
      <w:fldChar w:fldCharType="end"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3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righ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8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Droid Sans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Droid Sans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numPr>
        <w:ilvl w:val="0"/>
        <w:numId w:val="0"/>
      </w:num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1"/>
      </w:numPr>
      <w:spacing w:before="120" w:after="60"/>
      <w:jc w:val="both"/>
      <w:outlineLvl w:val="2"/>
    </w:pPr>
    <w:rPr>
      <w:rFonts w:eastAsia="Calibri"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uiPriority w:val="99"/>
    <w:rPr>
      <w:color w:val="0000FF"/>
      <w:u w:val="single"/>
    </w:rPr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CaptionChar" w:customStyle="1">
    <w:name w:val="Caption Char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2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3" w:customStyle="1">
    <w:name w:val="Нижний колонтитул Знак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sz w:val="28"/>
      <w:szCs w:val="28"/>
    </w:rPr>
  </w:style>
  <w:style w:type="character" w:styleId="2" w:customStyle="1">
    <w:name w:val="Заголовок 2 Знак"/>
    <w:qFormat/>
    <w:rPr>
      <w:rFonts w:eastAsia="Calibri"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sz w:val="24"/>
      <w:szCs w:val="24"/>
    </w:rPr>
  </w:style>
  <w:style w:type="character" w:styleId="4" w:customStyle="1">
    <w:name w:val="Заголовок 4 Знак"/>
    <w:qFormat/>
    <w:rPr>
      <w:rFonts w:eastAsia="Calibri"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4" w:customStyle="1">
    <w:name w:val="Название Знак"/>
    <w:uiPriority w:val="10"/>
    <w:qFormat/>
    <w:rPr>
      <w:sz w:val="28"/>
    </w:rPr>
  </w:style>
  <w:style w:type="character" w:styleId="Style5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6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7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8" w:customStyle="1">
    <w:name w:val="Текст сноски Знак"/>
    <w:qFormat/>
    <w:rPr/>
  </w:style>
  <w:style w:type="character" w:styleId="Style9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10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11" w:customStyle="1">
    <w:name w:val="комментарий"/>
    <w:qFormat/>
    <w:rPr>
      <w:b/>
      <w:i/>
      <w:shd w:fill="FFFF99" w:val="clear"/>
    </w:rPr>
  </w:style>
  <w:style w:type="character" w:styleId="Style12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3" w:customStyle="1">
    <w:name w:val="Верхний колонтитул Знак"/>
    <w:uiPriority w:val="99"/>
    <w:qFormat/>
    <w:rPr>
      <w:sz w:val="24"/>
      <w:szCs w:val="24"/>
    </w:rPr>
  </w:style>
  <w:style w:type="character" w:styleId="Style14" w:customStyle="1">
    <w:name w:val="Текст примечания Знак"/>
    <w:semiHidden/>
    <w:qFormat/>
    <w:rPr/>
  </w:style>
  <w:style w:type="character" w:styleId="Style15" w:customStyle="1">
    <w:name w:val="Текст концевой сноски Знак"/>
    <w:basedOn w:val="DefaultParagraphFont"/>
    <w:qFormat/>
    <w:rPr/>
  </w:style>
  <w:style w:type="character" w:styleId="EndnoteCharacters" w:customStyle="1">
    <w:name w:val="Endnote Characters"/>
    <w:basedOn w:val="DefaultParagraphFont"/>
    <w:qFormat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FontStyle17" w:customStyle="1">
    <w:name w:val="Font Style17"/>
    <w:qFormat/>
    <w:rPr>
      <w:rFonts w:ascii="Times New Roman" w:hAnsi="Times New Roman"/>
      <w:sz w:val="20"/>
      <w:szCs w:val="20"/>
    </w:rPr>
  </w:style>
  <w:style w:type="character" w:styleId="Style16" w:customStyle="1">
    <w:name w:val="Ссылка указателя"/>
    <w:qFormat/>
    <w:rPr/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Indexheading1">
    <w:name w:val="index heading1"/>
    <w:basedOn w:val="Title"/>
    <w:qFormat/>
    <w:pPr/>
    <w:rPr/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Style20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qFormat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qFormat/>
    <w:pPr>
      <w:tabs>
        <w:tab w:val="clear" w:pos="709"/>
        <w:tab w:val="left" w:pos="360" w:leader="none"/>
      </w:tabs>
      <w:spacing w:before="80" w:after="80"/>
      <w:ind w:left="360" w:hanging="36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qFormat/>
    <w:pPr>
      <w:tabs>
        <w:tab w:val="clear" w:pos="709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9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tabs>
        <w:tab w:val="clear" w:pos="709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uiPriority w:val="39"/>
    <w:qFormat/>
    <w:pPr>
      <w:keepLines/>
      <w:numPr>
        <w:ilvl w:val="0"/>
        <w:numId w:val="0"/>
      </w:numPr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tabs>
        <w:tab w:val="clear" w:pos="709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tabs>
        <w:tab w:val="clear" w:pos="709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Droid Sans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3" w:customStyle="1">
    <w:name w:val="УРОВЕНЬ_(а)"/>
    <w:basedOn w:val="ListParagraph"/>
    <w:qFormat/>
    <w:p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0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qFormat/>
    <w:pPr>
      <w:tabs>
        <w:tab w:val="clear" w:pos="709"/>
        <w:tab w:val="left" w:pos="0" w:leader="none"/>
      </w:tabs>
      <w:spacing w:lineRule="exact" w:line="360" w:before="120" w:after="0"/>
      <w:ind w:left="1134" w:hanging="1134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9"/>
        <w:tab w:val="left" w:pos="567" w:leader="none"/>
      </w:tabs>
      <w:spacing w:before="480" w:after="240"/>
      <w:ind w:left="567" w:hanging="567"/>
      <w:outlineLvl w:val="9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spacing w:before="120" w:after="120"/>
      <w:jc w:val="both"/>
      <w:outlineLvl w:val="0"/>
    </w:pPr>
    <w:rPr>
      <w:b/>
      <w:sz w:val="24"/>
      <w:szCs w:val="20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76" w:customStyle="1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Style36" w:customStyle="1">
    <w:name w:val="[РГ] Подраздел"/>
    <w:basedOn w:val="ListParagraph"/>
    <w:qFormat/>
    <w:pPr>
      <w:keepNext w:val="true"/>
      <w:spacing w:before="240" w:after="0"/>
      <w:ind w:left="993" w:hanging="993"/>
      <w:contextualSpacing w:val="false"/>
      <w:jc w:val="both"/>
      <w:outlineLvl w:val="2"/>
    </w:pPr>
    <w:rPr>
      <w:rFonts w:ascii="Calibri Light" w:hAnsi="Calibri Light" w:eastAsia="Times New Roman" w:cs="Calibri Light" w:asciiTheme="majorHAnsi" w:hAnsiTheme="majorHAnsi"/>
      <w:b/>
      <w:bCs/>
      <w:iCs/>
      <w:color w:val="000000"/>
      <w:sz w:val="26"/>
      <w:szCs w:val="26"/>
      <w:lang w:eastAsia="en-US"/>
    </w:rPr>
  </w:style>
  <w:style w:type="paragraph" w:styleId="Style37" w:customStyle="1">
    <w:name w:val="[РГ] Пункт"/>
    <w:basedOn w:val="ListParagraph"/>
    <w:qFormat/>
    <w:pPr>
      <w:spacing w:before="120" w:after="240"/>
      <w:ind w:left="992" w:hanging="992"/>
      <w:contextualSpacing w:val="false"/>
      <w:jc w:val="both"/>
      <w:outlineLvl w:val="3"/>
    </w:pPr>
    <w:rPr>
      <w:rFonts w:ascii="Calibri Light" w:hAnsi="Calibri Light" w:eastAsia="Times New Roman" w:cs="Calibri Light" w:asciiTheme="majorHAnsi" w:hAnsiTheme="majorHAnsi"/>
      <w:color w:val="000000"/>
      <w:sz w:val="26"/>
      <w:szCs w:val="26"/>
      <w:lang w:eastAsia="en-US"/>
    </w:rPr>
  </w:style>
  <w:style w:type="paragraph" w:styleId="Style38" w:customStyle="1">
    <w:name w:val="[РГ] Подпункт"/>
    <w:basedOn w:val="ListParagraph"/>
    <w:qFormat/>
    <w:pPr>
      <w:spacing w:before="120" w:after="240"/>
      <w:contextualSpacing w:val="false"/>
      <w:jc w:val="both"/>
      <w:outlineLvl w:val="4"/>
    </w:pPr>
    <w:rPr>
      <w:rFonts w:ascii="Calibri Light" w:hAnsi="Calibri Light" w:eastAsia="Times New Roman" w:cs="Calibri Light" w:asciiTheme="majorHAnsi" w:hAnsiTheme="majorHAnsi"/>
      <w:bCs/>
      <w:iCs/>
      <w:color w:val="000000"/>
      <w:sz w:val="26"/>
      <w:szCs w:val="26"/>
      <w:lang w:eastAsia="en-US"/>
    </w:rPr>
  </w:style>
  <w:style w:type="paragraph" w:styleId="29" w:customStyle="1">
    <w:name w:val="Абзац списка2"/>
    <w:uiPriority w:val="34"/>
    <w:qFormat/>
    <w:pPr>
      <w:widowControl/>
      <w:suppressAutoHyphens w:val="true"/>
      <w:bidi w:val="0"/>
      <w:spacing w:lineRule="auto" w:line="259" w:before="0" w:after="160"/>
      <w:ind w:left="720" w:hanging="0"/>
      <w:contextualSpacing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Style39" w:customStyle="1">
    <w:name w:val="Содержимое врезки"/>
    <w:basedOn w:val="Normal"/>
    <w:qFormat/>
    <w:pPr/>
    <w:rPr/>
  </w:style>
  <w:style w:type="paragraph" w:styleId="42Table-NormalRSHBTable-Normal3" w:customStyle="1">
    <w:name w:val="Абзац списка;Алроса_маркер (Уровень 4);Маркер;ПАРАГРАФ;Абзац списка2;Table-Normal;RSHB_Table-Normal;Заголовок_3;Подпись рисунка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0" w:afterAutospacing="0" w:after="80"/>
      <w:ind w:left="720" w:right="0" w:hanging="0"/>
      <w:contextualSpacing/>
      <w:jc w:val="left"/>
    </w:pPr>
    <w:rPr>
      <w:rFonts w:ascii="Times New Roman" w:hAnsi="Times New Roman" w:eastAsia="Tahoma" w:cs="Droid Sans Devanagar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Style40" w:customStyle="1">
    <w:name w:val="[РГ] Текст"/>
    <w:qFormat/>
    <w:pPr>
      <w:keepNext w:val="false"/>
      <w:keepLines w:val="false"/>
      <w:pageBreakBefore w:val="false"/>
      <w:widowControl/>
      <w:shd w:val="nil" w:color="000000"/>
      <w:suppressAutoHyphens w:val="true"/>
      <w:bidi w:val="0"/>
      <w:spacing w:lineRule="auto" w:line="240" w:beforeAutospacing="0" w:before="120" w:afterAutospacing="0" w:after="0"/>
      <w:ind w:left="0" w:right="0" w:hanging="0"/>
      <w:jc w:val="both"/>
    </w:pPr>
    <w:rPr>
      <w:rFonts w:ascii="Times New Roman" w:hAnsi="Times New Roman" w:eastAsia="Times New Roman" w:cs="Times New Roman (???????? ?????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6"/>
      <w:sz w:val="26"/>
      <w:szCs w:val="24"/>
      <w:u w:val="none"/>
      <w:vertAlign w:val="baseline"/>
      <w:lang w:val="ru-RU" w:eastAsia="en-US" w:bidi="ar-SA"/>
      <w14:ligatures w14:val="none"/>
    </w:rPr>
  </w:style>
  <w:style w:type="paragraph" w:styleId="Style41">
    <w:name w:val="Содержимое таблицы"/>
    <w:basedOn w:val="Normal"/>
    <w:qFormat/>
    <w:pPr>
      <w:widowControl w:val="false"/>
      <w:suppressLineNumbers/>
    </w:pPr>
    <w:rPr/>
  </w:style>
  <w:style w:type="paragraph" w:styleId="Style42">
    <w:name w:val="Заголовок таблицы"/>
    <w:basedOn w:val="Style4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10" w:customStyle="1">
    <w:name w:val="Стиль2"/>
    <w:uiPriority w:val="99"/>
    <w:qFormat/>
  </w:style>
  <w:style w:type="table" w:default="1" w:styleId="863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Table Grid"/>
    <w:basedOn w:val="86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6">
    <w:name w:val="Table Grid Light"/>
    <w:basedOn w:val="86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7">
    <w:name w:val="Plain Table 1"/>
    <w:basedOn w:val="86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68">
    <w:name w:val="Plain Table 2"/>
    <w:basedOn w:val="86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69">
    <w:name w:val="Plain Table 3"/>
    <w:basedOn w:val="86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70">
    <w:name w:val="Plain Table 4"/>
    <w:basedOn w:val="86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71">
    <w:name w:val="Plain Table 5"/>
    <w:basedOn w:val="863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72">
    <w:name w:val="Grid Table 1 Light"/>
    <w:basedOn w:val="86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3">
    <w:name w:val="Grid Table 1 Light - Accent 1"/>
    <w:basedOn w:val="86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4">
    <w:name w:val="Grid Table 1 Light - Accent 2"/>
    <w:basedOn w:val="86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5">
    <w:name w:val="Grid Table 1 Light - Accent 3"/>
    <w:basedOn w:val="86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6">
    <w:name w:val="Grid Table 1 Light - Accent 4"/>
    <w:basedOn w:val="86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7">
    <w:name w:val="Grid Table 1 Light - Accent 5"/>
    <w:basedOn w:val="86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8">
    <w:name w:val="Grid Table 1 Light - Accent 6"/>
    <w:basedOn w:val="86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79">
    <w:name w:val="Grid Table 2"/>
    <w:basedOn w:val="86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0">
    <w:name w:val="Grid Table 2 - Accent 1"/>
    <w:basedOn w:val="86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1">
    <w:name w:val="Grid Table 2 - Accent 2"/>
    <w:basedOn w:val="86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2">
    <w:name w:val="Grid Table 2 - Accent 3"/>
    <w:basedOn w:val="86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3">
    <w:name w:val="Grid Table 2 - Accent 4"/>
    <w:basedOn w:val="86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4">
    <w:name w:val="Grid Table 2 - Accent 5"/>
    <w:basedOn w:val="86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5">
    <w:name w:val="Grid Table 2 - Accent 6"/>
    <w:basedOn w:val="86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86">
    <w:name w:val="Grid Table 3"/>
    <w:basedOn w:val="86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7">
    <w:name w:val="Grid Table 3 - Accent 1"/>
    <w:basedOn w:val="86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8">
    <w:name w:val="Grid Table 3 - Accent 2"/>
    <w:basedOn w:val="86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9">
    <w:name w:val="Grid Table 3 - Accent 3"/>
    <w:basedOn w:val="86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0">
    <w:name w:val="Grid Table 3 - Accent 4"/>
    <w:basedOn w:val="86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1">
    <w:name w:val="Grid Table 3 - Accent 5"/>
    <w:basedOn w:val="86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2">
    <w:name w:val="Grid Table 3 - Accent 6"/>
    <w:basedOn w:val="86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3">
    <w:name w:val="Grid Table 4"/>
    <w:basedOn w:val="86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94">
    <w:name w:val="Grid Table 4 - Accent 1"/>
    <w:basedOn w:val="863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</w:style>
  <w:style w:type="table" w:customStyle="1" w:styleId="895">
    <w:name w:val="Grid Table 4 - Accent 2"/>
    <w:basedOn w:val="86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96">
    <w:name w:val="Grid Table 4 - Accent 3"/>
    <w:basedOn w:val="86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897">
    <w:name w:val="Grid Table 4 - Accent 4"/>
    <w:basedOn w:val="86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98">
    <w:name w:val="Grid Table 4 - Accent 5"/>
    <w:basedOn w:val="863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</w:style>
  <w:style w:type="table" w:customStyle="1" w:styleId="899">
    <w:name w:val="Grid Table 4 - Accent 6"/>
    <w:basedOn w:val="86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styleId="900">
    <w:name w:val="Grid Table 5 Dark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901">
    <w:name w:val="Grid Table 5 Dark- Accent 1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1" w:themeFillTint="75"/>
      </w:tcPr>
    </w:tblStylePr>
    <w:tblStylePr w:type="band1Vert">
      <w:tblPr/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902">
    <w:name w:val="Grid Table 5 Dark - Accent 2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903">
    <w:name w:val="Grid Table 5 Dark - Accent 3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904">
    <w:name w:val="Grid Table 5 Dark- Accent 4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905">
    <w:name w:val="Grid Table 5 Dark - Accent 5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5" w:themeFillTint="7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</w:style>
  <w:style w:type="table" w:customStyle="1" w:styleId="906">
    <w:name w:val="Grid Table 5 Dark - Accent 6"/>
    <w:basedOn w:val="8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907">
    <w:name w:val="Grid Table 6 Colorful"/>
    <w:basedOn w:val="86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908">
    <w:name w:val="Grid Table 6 Colorful - Accent 1"/>
    <w:basedOn w:val="863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tblPr/>
    </w:tblStylePr>
    <w:tblStylePr w:type="lastRow">
      <w:rPr>
        <w:b/>
        <w:color w:val="A0B7E1" w:themeColor="accent1" w:themeTint="80" w:themeShade="95"/>
      </w:rPr>
      <w:tblPr/>
    </w:tblStylePr>
  </w:style>
  <w:style w:type="table" w:customStyle="1" w:styleId="909">
    <w:name w:val="Grid Table 6 Colorful - Accent 2"/>
    <w:basedOn w:val="86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910">
    <w:name w:val="Grid Table 6 Colorful - Accent 3"/>
    <w:basedOn w:val="86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911">
    <w:name w:val="Grid Table 6 Colorful - Accent 4"/>
    <w:basedOn w:val="86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912">
    <w:name w:val="Grid Table 6 Colorful - Accent 5"/>
    <w:basedOn w:val="863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</w:style>
  <w:style w:type="table" w:customStyle="1" w:styleId="913">
    <w:name w:val="Grid Table 6 Colorful - Accent 6"/>
    <w:basedOn w:val="86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</w:style>
  <w:style w:type="table" w:styleId="914">
    <w:name w:val="Grid Table 7 Colorful"/>
    <w:basedOn w:val="86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5">
    <w:name w:val="Grid Table 7 Colorful - Accent 1"/>
    <w:basedOn w:val="863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  <w:shd w:val="clear" w:color="FFFFFF" w:fill="auto"/>
      </w:tcPr>
    </w:tblStyle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6">
    <w:name w:val="Grid Table 7 Colorful - Accent 2"/>
    <w:basedOn w:val="86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7">
    <w:name w:val="Grid Table 7 Colorful - Accent 3"/>
    <w:basedOn w:val="86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8">
    <w:name w:val="Grid Table 7 Colorful - Accent 4"/>
    <w:basedOn w:val="86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9">
    <w:name w:val="Grid Table 7 Colorful - Accent 5"/>
    <w:basedOn w:val="863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  <w:shd w:val="clear" w:color="FFFFFF" w:fill="auto"/>
      </w:tcPr>
    </w:tblStyle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20">
    <w:name w:val="Grid Table 7 Colorful - Accent 6"/>
    <w:basedOn w:val="86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921">
    <w:name w:val="List Table 1 Light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2">
    <w:name w:val="List Table 1 Light - Accent 1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3">
    <w:name w:val="List Table 1 Light - Accent 2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4">
    <w:name w:val="List Table 1 Light - Accent 3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5">
    <w:name w:val="List Table 1 Light - Accent 4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6">
    <w:name w:val="List Table 1 Light - Accent 5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7">
    <w:name w:val="List Table 1 Light - Accent 6"/>
    <w:basedOn w:val="863"/>
    <w:uiPriority w:val="99"/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2"/>
    <w:basedOn w:val="86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929">
    <w:name w:val="List Table 2 - Accent 1"/>
    <w:basedOn w:val="863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customStyle="1" w:styleId="930">
    <w:name w:val="List Table 2 - Accent 2"/>
    <w:basedOn w:val="86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931">
    <w:name w:val="List Table 2 - Accent 3"/>
    <w:basedOn w:val="86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932">
    <w:name w:val="List Table 2 - Accent 4"/>
    <w:basedOn w:val="86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933">
    <w:name w:val="List Table 2 - Accent 5"/>
    <w:basedOn w:val="863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customStyle="1" w:styleId="934">
    <w:name w:val="List Table 2 - Accent 6"/>
    <w:basedOn w:val="86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35">
    <w:name w:val="List Table 3"/>
    <w:basedOn w:val="86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6">
    <w:name w:val="List Table 3 - Accent 1"/>
    <w:basedOn w:val="863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7">
    <w:name w:val="List Table 3 - Accent 2"/>
    <w:basedOn w:val="86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8">
    <w:name w:val="List Table 3 - Accent 3"/>
    <w:basedOn w:val="86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9">
    <w:name w:val="List Table 3 - Accent 4"/>
    <w:basedOn w:val="86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0">
    <w:name w:val="List Table 3 - Accent 5"/>
    <w:basedOn w:val="863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1">
    <w:name w:val="List Table 3 - Accent 6"/>
    <w:basedOn w:val="86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42">
    <w:name w:val="List Table 4"/>
    <w:basedOn w:val="86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3">
    <w:name w:val="List Table 4 - Accent 1"/>
    <w:basedOn w:val="863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4">
    <w:name w:val="List Table 4 - Accent 2"/>
    <w:basedOn w:val="86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5">
    <w:name w:val="List Table 4 - Accent 3"/>
    <w:basedOn w:val="86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6">
    <w:name w:val="List Table 4 - Accent 4"/>
    <w:basedOn w:val="86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7">
    <w:name w:val="List Table 4 - Accent 5"/>
    <w:basedOn w:val="863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8">
    <w:name w:val="List Table 4 - Accent 6"/>
    <w:basedOn w:val="86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49">
    <w:name w:val="List Table 5 Dark"/>
    <w:basedOn w:val="86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0">
    <w:name w:val="List Table 5 Dark - Accent 1"/>
    <w:basedOn w:val="863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1">
    <w:name w:val="List Table 5 Dark - Accent 2"/>
    <w:basedOn w:val="86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2">
    <w:name w:val="List Table 5 Dark - Accent 3"/>
    <w:basedOn w:val="86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3">
    <w:name w:val="List Table 5 Dark - Accent 4"/>
    <w:basedOn w:val="86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4">
    <w:name w:val="List Table 5 Dark - Accent 5"/>
    <w:basedOn w:val="863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5">
    <w:name w:val="List Table 5 Dark - Accent 6"/>
    <w:basedOn w:val="86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956">
    <w:name w:val="List Table 6 Colorful"/>
    <w:basedOn w:val="86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957">
    <w:name w:val="List Table 6 Colorful - Accent 1"/>
    <w:basedOn w:val="863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firstCol">
      <w:rPr>
        <w:b/>
        <w:color w:val="254175" w:themeColor="accent1" w:themeShade="95"/>
      </w:rPr>
      <w:tblPr/>
    </w:tblStyle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tblPr/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</w:style>
  <w:style w:type="table" w:customStyle="1" w:styleId="958">
    <w:name w:val="List Table 6 Colorful - Accent 2"/>
    <w:basedOn w:val="86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959">
    <w:name w:val="List Table 6 Colorful - Accent 3"/>
    <w:basedOn w:val="86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960">
    <w:name w:val="List Table 6 Colorful - Accent 4"/>
    <w:basedOn w:val="86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61">
    <w:name w:val="List Table 6 Colorful - Accent 5"/>
    <w:basedOn w:val="863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firstCol">
      <w:rPr>
        <w:b/>
        <w:color w:val="9BC2E5" w:themeColor="accent5" w:themeTint="9a" w:themeShade="95"/>
      </w:rPr>
      <w:tblPr/>
    </w:tblStyle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tblPr/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</w:style>
  <w:style w:type="table" w:customStyle="1" w:styleId="962">
    <w:name w:val="List Table 6 Colorful - Accent 6"/>
    <w:basedOn w:val="86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963">
    <w:name w:val="List Table 7 Colorful"/>
    <w:basedOn w:val="86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4">
    <w:name w:val="List Table 7 Colorful - Accent 1"/>
    <w:basedOn w:val="863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5">
    <w:name w:val="List Table 7 Colorful - Accent 2"/>
    <w:basedOn w:val="86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6">
    <w:name w:val="List Table 7 Colorful - Accent 3"/>
    <w:basedOn w:val="86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7">
    <w:name w:val="List Table 7 Colorful - Accent 4"/>
    <w:basedOn w:val="86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8">
    <w:name w:val="List Table 7 Colorful - Accent 5"/>
    <w:basedOn w:val="863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  <w:shd w:val="clear" w:color="FFFFFF" w:fill="auto"/>
      </w:tcPr>
    </w:tblStyle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9">
    <w:name w:val="List Table 7 Colorful - Accent 6"/>
    <w:basedOn w:val="86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70">
    <w:name w:val="Lined - Accent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71">
    <w:name w:val="Lined - Accent 1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972">
    <w:name w:val="Lined - Accent 2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73">
    <w:name w:val="Lined - Accent 3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74">
    <w:name w:val="Lined - Accent 4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75">
    <w:name w:val="Lined - Accent 5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</w:style>
  <w:style w:type="table" w:customStyle="1" w:styleId="976">
    <w:name w:val="Lined - Accent 6"/>
    <w:basedOn w:val="863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77">
    <w:name w:val="Bordered &amp; Lined - Accent"/>
    <w:basedOn w:val="86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78">
    <w:name w:val="Bordered &amp; Lined - Accent 1"/>
    <w:basedOn w:val="863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979">
    <w:name w:val="Bordered &amp; Lined - Accent 2"/>
    <w:basedOn w:val="863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80">
    <w:name w:val="Bordered &amp; Lined - Accent 3"/>
    <w:basedOn w:val="863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81">
    <w:name w:val="Bordered &amp; Lined - Accent 4"/>
    <w:basedOn w:val="863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82">
    <w:name w:val="Bordered &amp; Lined - Accent 5"/>
    <w:basedOn w:val="863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</w:style>
  <w:style w:type="table" w:customStyle="1" w:styleId="983">
    <w:name w:val="Bordered &amp; Lined - Accent 6"/>
    <w:basedOn w:val="863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84">
    <w:name w:val="Bordered"/>
    <w:basedOn w:val="86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85">
    <w:name w:val="Bordered - Accent 1"/>
    <w:basedOn w:val="86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</w:style>
  <w:style w:type="table" w:customStyle="1" w:styleId="986">
    <w:name w:val="Bordered - Accent 2"/>
    <w:basedOn w:val="86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987">
    <w:name w:val="Bordered - Accent 3"/>
    <w:basedOn w:val="86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988">
    <w:name w:val="Bordered - Accent 4"/>
    <w:basedOn w:val="86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989">
    <w:name w:val="Bordered - Accent 5"/>
    <w:basedOn w:val="86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</w:style>
  <w:style w:type="table" w:customStyle="1" w:styleId="990">
    <w:name w:val="Bordered - Accent 6"/>
    <w:basedOn w:val="86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yperlink" Target="http://www.zakupki.gov.ru/" TargetMode="External"/><Relationship Id="rId7" Type="http://schemas.openxmlformats.org/officeDocument/2006/relationships/hyperlink" Target="mailto:%3D%3Fkoi8-r%3FQ%3F%3DFE%3DD5%3DD7%3DC1%3DDB%3DC5%3DD7_%3F%3D %3D%3Fkoi8-r%3FQ%3F%3DF7%3DC1%3DC4%3DC9%3DCD_%3F%3D %3D%3Fkoi8-r%3FQ%3F%3DE2%3DCF%3DD2%3DC9%3DD3%3DCF%3DD7%3DC9%3DDE%3F%3D &lt;chuvashev-vb@dgk.ru&gt;" TargetMode="Externa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header" Target="header8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6A87A-AE2E-4674-863E-A7570BFC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Application>AlterOffice/2025.3.1.0$Linux_X86_64 LibreOffice_project/431cd1b79110582f53535c95ed0a2449aadc8bf9</Application>
  <AppVersion>15.0000</AppVersion>
  <Pages>21</Pages>
  <Words>3713</Words>
  <Characters>26299</Characters>
  <CharactersWithSpaces>29611</CharactersWithSpaces>
  <Paragraphs>345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2023-12-06T13:50:00Z</dcterms:created>
  <dc:creator>Быстров Олег Геннадьевич</dc:creator>
  <dc:description/>
  <dc:language>ru-RU</dc:language>
  <cp:lastModifiedBy>evstratenko_av@DGK.RU</cp:lastModifiedBy>
  <dcterms:modified xsi:type="dcterms:W3CDTF">2026-08-18T16:33:44Z</dcterms:modified>
  <cp:revision>105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